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i/>
          <w:iCs/>
          <w:u w:val="single"/>
        </w:rPr>
        <w:t>19. melléklet a 44/2015. (XI. 2.) MvM rendelethez</w:t>
      </w:r>
      <w:bookmarkStart w:id="0" w:name="foot_31_place"/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begin"/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instrText xml:space="preserve"> HYPERLINK "http://njt.hu/cgi_bin/njt_doc.cgi?docid=191877.333351" \l "foot31" </w:instrText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separate"/>
      </w:r>
      <w:r w:rsidRPr="007E293B">
        <w:rPr>
          <w:rFonts w:ascii="Times New Roman" w:eastAsia="Times New Roman" w:hAnsi="Times New Roman"/>
          <w:i/>
          <w:iCs/>
          <w:color w:val="0000FF"/>
          <w:u w:val="single"/>
          <w:vertAlign w:val="superscript"/>
        </w:rPr>
        <w:t>31</w:t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end"/>
      </w:r>
      <w:bookmarkEnd w:id="0"/>
    </w:p>
    <w:p w:rsidR="007E293B" w:rsidRPr="007E293B" w:rsidRDefault="007E293B" w:rsidP="007E293B">
      <w:pPr>
        <w:spacing w:before="80" w:after="8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sz w:val="44"/>
          <w:szCs w:val="44"/>
        </w:rPr>
        <w:t>KÖZBESZERZÉSI ADATBÁZIS</w:t>
      </w:r>
    </w:p>
    <w:p w:rsidR="007E293B" w:rsidRPr="007E293B" w:rsidRDefault="007E293B" w:rsidP="007E293B">
      <w:pPr>
        <w:spacing w:before="80" w:after="80"/>
        <w:jc w:val="righ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  <w:sz w:val="40"/>
          <w:szCs w:val="40"/>
        </w:rPr>
        <w:t>Összefoglaló tájékoztatás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Kbt. 113. § (1) bekezdés szerinti eljárások esetében.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Az érdekelt gazdasági szereplőknek tájékoztatniuk kell az ajánlatkérőt arról, hogy érdeklődnek az eljárás iránt.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Közbeszerzési Hatóság honlapján történő közzétételre.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I. szakasz: Ajánlatkérő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I.1) Név és cím(ek) </w:t>
      </w:r>
      <w:r w:rsidRPr="007E293B">
        <w:rPr>
          <w:rFonts w:ascii="Times New Roman" w:eastAsia="Times New Roman" w:hAnsi="Times New Roman"/>
          <w:vertAlign w:val="superscript"/>
        </w:rPr>
        <w:t>1</w:t>
      </w:r>
      <w:r w:rsidRPr="007E293B">
        <w:rPr>
          <w:rFonts w:ascii="Times New Roman" w:eastAsia="Times New Roman" w:hAnsi="Times New Roman"/>
        </w:rPr>
        <w:t xml:space="preserve"> </w:t>
      </w: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(jelölje meg az eljárásért felelős összes ajánlatkérőt)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552"/>
        <w:gridCol w:w="2409"/>
      </w:tblGrid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Hivatalos név:</w:t>
            </w:r>
            <w:r w:rsidR="009D57CC" w:rsidRPr="006C0B26">
              <w:rPr>
                <w:b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Budapest Főváros XIV. Kerület Zugló Önkormányzata</w:t>
            </w:r>
          </w:p>
        </w:tc>
      </w:tr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9D57CC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cím:</w:t>
            </w:r>
            <w:r w:rsidR="009D57CC"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Pétervárad utca 2.</w:t>
            </w:r>
          </w:p>
        </w:tc>
      </w:tr>
      <w:tr w:rsidR="007E293B" w:rsidRPr="007E293B" w:rsidTr="007E293B">
        <w:tc>
          <w:tcPr>
            <w:tcW w:w="4693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Város: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 xml:space="preserve"> Budapest</w:t>
            </w:r>
          </w:p>
        </w:tc>
        <w:tc>
          <w:tcPr>
            <w:tcW w:w="2552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irányítószám: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 xml:space="preserve"> 1145</w:t>
            </w:r>
          </w:p>
        </w:tc>
        <w:tc>
          <w:tcPr>
            <w:tcW w:w="2409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Ország:</w:t>
            </w:r>
            <w:r w:rsidR="009D57C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Magyarország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I.2) Kommunikáció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Az érdeklődés jelzésére szolgáló elérhetőség: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napholcz.jozsef@zuglo.hu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II. szakasz: Tárgy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II.1) Meghatározás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II.1.1) A szerződés típusa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X </w:t>
            </w:r>
            <w:r w:rsidRPr="009D57C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Építési beruházás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Árubeszerzés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Szolgáltatásmegrendelés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663C2A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II.1.2) A szerződés tárgya:</w:t>
            </w:r>
            <w:r w:rsidR="00B5147F">
              <w:t xml:space="preserve"> </w:t>
            </w:r>
            <w:r w:rsidR="00663C2A" w:rsidRPr="00663C2A">
              <w:rPr>
                <w:rFonts w:ascii="Times New Roman" w:hAnsi="Times New Roman"/>
                <w:b/>
                <w:color w:val="548DD4" w:themeColor="text2" w:themeTint="99"/>
              </w:rPr>
              <w:t>Tücsöktanya Óvoda felújítása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II.1.3) A közbeszerzés mennyisége:</w:t>
            </w:r>
          </w:p>
          <w:p w:rsidR="00663C2A" w:rsidRPr="00663C2A" w:rsidRDefault="007E293B" w:rsidP="00663C2A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  <w:u w:val="wave"/>
              </w:rPr>
              <w:t>(az építési beruházás, árubeszerzés vagy szolgáltatás jellegének megfelelően)</w:t>
            </w:r>
          </w:p>
          <w:p w:rsidR="00663C2A" w:rsidRPr="00663C2A" w:rsidRDefault="00663C2A" w:rsidP="00663C2A">
            <w:pPr>
              <w:pStyle w:val="Nincstrkz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Óvodaépület tetőszigetelés felújítása, kazáncsere, fűtési hálózat cseréje, belső felújítási munkák.</w:t>
            </w:r>
          </w:p>
          <w:p w:rsidR="00663C2A" w:rsidRPr="00663C2A" w:rsidRDefault="00663C2A" w:rsidP="00663C2A">
            <w:pPr>
              <w:pStyle w:val="Nincstrkz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905 m2 bitumenes lemezfedésű lapos tetőn víz- és hőszigetelési rétegek bontása,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905 m2 műanyag lemezfedésű egyenes rétegrendű lapos tető építése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230 m fémlemez attika fallefedés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4 db új attika-kifolyó kialakítása és külső víz-levezetés kialakítása meglévő csatornahálózatba kötve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30 m új építésű, mennyezet alatti belső esővíz-elvezetés kialakítása meglévő csatornahálózatba kötve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25 m2 meglévő nyílászárók bontása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2 db 300x300 cm műanyag tokszerkezetű bejárati portál beépítése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 db 140x300 cm műanyag tokszerkezetű, üvegezett bejárati ajtó beépítése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4 db 260x40 cm és 2 db 150x40 cm műanyag tokszerkezetű fix ablak beépítése könyöklővel és külső műanyag párkánnyal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1200 m2 belső falfestés (felület-előkészítés, alapozás, fedőfestés)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750 m2 2 réteg mennyezetfestés (felület-előkészítés, alapozás, fedőfestés)</w:t>
            </w:r>
          </w:p>
          <w:p w:rsidR="00663C2A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Kazáncsere</w:t>
            </w:r>
          </w:p>
          <w:p w:rsidR="00B5147F" w:rsidRPr="00663C2A" w:rsidRDefault="00663C2A" w:rsidP="00663C2A">
            <w:pPr>
              <w:pStyle w:val="Nincstrkz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663C2A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Teljes fűtési csőhálózat cseréje</w:t>
            </w:r>
          </w:p>
        </w:tc>
      </w:tr>
      <w:tr w:rsidR="007E293B" w:rsidRPr="00B5147F" w:rsidTr="007E293B">
        <w:tc>
          <w:tcPr>
            <w:tcW w:w="9654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lastRenderedPageBreak/>
              <w:t>II.1.4)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A szerződés időtartama, vagy a teljesítés határideje</w:t>
            </w:r>
          </w:p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Időtartam hónapban: </w:t>
            </w:r>
            <w:proofErr w:type="gramStart"/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>[ ]</w:t>
            </w:r>
            <w:proofErr w:type="gramEnd"/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B5147F"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vagy napban: </w:t>
            </w:r>
            <w:r w:rsidR="00AE460B">
              <w:rPr>
                <w:rFonts w:ascii="Times New Roman" w:hAnsi="Times New Roman"/>
                <w:b/>
                <w:color w:val="548DD4" w:themeColor="text2" w:themeTint="99"/>
              </w:rPr>
              <w:t>150</w:t>
            </w:r>
            <w:r w:rsidR="004777E9" w:rsidRPr="004777E9">
              <w:rPr>
                <w:rFonts w:ascii="Times New Roman" w:hAnsi="Times New Roman"/>
                <w:b/>
                <w:color w:val="548DD4" w:themeColor="text2" w:themeTint="99"/>
              </w:rPr>
              <w:t xml:space="preserve"> nap</w:t>
            </w:r>
          </w:p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vagy a teljesítés határideje: </w:t>
            </w:r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éééé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hh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nn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7E293B" w:rsidRPr="00B5147F" w:rsidTr="007E293B">
        <w:tc>
          <w:tcPr>
            <w:tcW w:w="9654" w:type="dxa"/>
            <w:hideMark/>
          </w:tcPr>
          <w:p w:rsidR="007E293B" w:rsidRPr="00B5147F" w:rsidRDefault="007E293B" w:rsidP="00F73765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II.1.5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) A teljesítés helye:</w:t>
            </w:r>
            <w:r w:rsidR="00B5147F" w:rsidRPr="00B5147F">
              <w:t xml:space="preserve"> </w:t>
            </w:r>
            <w:r w:rsidR="00F73765">
              <w:rPr>
                <w:rFonts w:ascii="Times New Roman" w:hAnsi="Times New Roman"/>
                <w:b/>
                <w:color w:val="548DD4" w:themeColor="text2" w:themeTint="99"/>
              </w:rPr>
              <w:t xml:space="preserve">1147 Budapest, Ilosvay Selymes tér 21. </w:t>
            </w:r>
            <w:r w:rsidR="004777E9" w:rsidRPr="004777E9">
              <w:rPr>
                <w:rFonts w:ascii="Times New Roman" w:hAnsi="Times New Roman"/>
                <w:b/>
                <w:color w:val="548DD4" w:themeColor="text2" w:themeTint="99"/>
              </w:rPr>
              <w:t xml:space="preserve">hrsz.: </w:t>
            </w:r>
            <w:r w:rsidR="00F73765">
              <w:rPr>
                <w:rFonts w:ascii="Times New Roman" w:hAnsi="Times New Roman"/>
                <w:b/>
                <w:color w:val="548DD4" w:themeColor="text2" w:themeTint="99"/>
              </w:rPr>
              <w:t>30665/4</w:t>
            </w:r>
          </w:p>
        </w:tc>
      </w:tr>
    </w:tbl>
    <w:p w:rsidR="007E293B" w:rsidRPr="00B5147F" w:rsidRDefault="00B31924" w:rsidP="007E293B">
      <w:pPr>
        <w:spacing w:before="120" w:after="120"/>
        <w:jc w:val="left"/>
        <w:rPr>
          <w:rFonts w:ascii="Times New Roman" w:eastAsia="Times New Roman" w:hAnsi="Times New Roman"/>
          <w:vanish/>
          <w:sz w:val="28"/>
          <w:szCs w:val="28"/>
          <w:u w:val="wave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III. szakasz: Értékelési szempontok</w:t>
      </w:r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9"/>
      </w:tblGrid>
      <w:tr w:rsidR="007E293B" w:rsidRPr="00F77147" w:rsidTr="00B31924">
        <w:tc>
          <w:tcPr>
            <w:tcW w:w="9749" w:type="dxa"/>
            <w:hideMark/>
          </w:tcPr>
          <w:p w:rsidR="007E293B" w:rsidRPr="00B5147F" w:rsidRDefault="007E293B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III.1) Értékelési szempontok:</w:t>
            </w:r>
          </w:p>
          <w:p w:rsidR="007E293B" w:rsidRPr="00B5147F" w:rsidRDefault="00B5147F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Az alábbi értékelési szempontok</w:t>
            </w:r>
          </w:p>
          <w:p w:rsidR="007E293B" w:rsidRDefault="00B5147F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Minőségi szempont - Megnevezés: / Súlyszám: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1 2 3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27"/>
              <w:gridCol w:w="553"/>
            </w:tblGrid>
            <w:tr w:rsidR="004777E9" w:rsidRPr="00D84736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Jótállás időtartama (hónap, min. 36 hónap – max. 60 hónap)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15</w:t>
                  </w:r>
                </w:p>
              </w:tc>
            </w:tr>
            <w:tr w:rsidR="004777E9" w:rsidRPr="00D84736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Napi késedelmi kötbér mértéke (%/nap, mely az ÁFA nélkül számított összesített vállalkozói díj min. 0,5%-a, max.1,5%-a/nap)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15</w:t>
                  </w:r>
                </w:p>
              </w:tc>
            </w:tr>
          </w:tbl>
          <w:p w:rsidR="004777E9" w:rsidRDefault="004777E9" w:rsidP="004777E9">
            <w:pPr>
              <w:spacing w:before="120" w:after="120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</w:p>
          <w:p w:rsidR="007E293B" w:rsidRPr="00B5147F" w:rsidRDefault="007E293B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</w:t>
            </w:r>
            <w:r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Költség szempont - Megnevezés: / Súlyszám:</w:t>
            </w:r>
            <w:r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1 3</w:t>
            </w:r>
          </w:p>
          <w:p w:rsidR="007E293B" w:rsidRPr="00B5147F" w:rsidRDefault="00B5147F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Ár szempont - Megnevezés: / Súlyszám: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4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27"/>
              <w:gridCol w:w="553"/>
            </w:tblGrid>
            <w:tr w:rsidR="004777E9" w:rsidRPr="004777E9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Szumma vállalási ár (tartalékkeret nélkül számított nettó HUF)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70</w:t>
                  </w:r>
                </w:p>
              </w:tc>
            </w:tr>
          </w:tbl>
          <w:p w:rsidR="00B5147F" w:rsidRPr="00F77147" w:rsidRDefault="00B5147F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</w:p>
        </w:tc>
      </w:tr>
    </w:tbl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IV</w:t>
      </w:r>
      <w:r w:rsidRPr="00B5147F">
        <w:rPr>
          <w:rFonts w:ascii="Times New Roman" w:eastAsia="Times New Roman" w:hAnsi="Times New Roman"/>
          <w:b/>
          <w:bCs/>
          <w:sz w:val="28"/>
          <w:szCs w:val="28"/>
        </w:rPr>
        <w:t>. szakasz: Jogi információ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B5147F">
        <w:rPr>
          <w:rFonts w:ascii="Times New Roman" w:eastAsia="Times New Roman" w:hAnsi="Times New Roman"/>
          <w:b/>
          <w:bCs/>
          <w:u w:val="wave"/>
        </w:rPr>
        <w:t>IV</w:t>
      </w:r>
      <w:r w:rsidRPr="00B5147F">
        <w:rPr>
          <w:rFonts w:ascii="Times New Roman" w:eastAsia="Times New Roman" w:hAnsi="Times New Roman"/>
          <w:b/>
          <w:bCs/>
        </w:rPr>
        <w:t>.1) Részvételi feltételek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B5147F" w:rsidTr="00B31924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IV.1.1) Alkalmassági </w:t>
            </w:r>
            <w:proofErr w:type="gramStart"/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minimumkövetelmény(</w:t>
            </w:r>
            <w:proofErr w:type="gramEnd"/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ek):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  <w:t>2</w:t>
            </w:r>
          </w:p>
          <w:p w:rsidR="00B5147F" w:rsidRPr="00B5147F" w:rsidRDefault="00B5147F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</w:p>
        </w:tc>
      </w:tr>
      <w:tr w:rsidR="006C40E3" w:rsidRPr="00B5147F" w:rsidTr="00B31924">
        <w:tc>
          <w:tcPr>
            <w:tcW w:w="9776" w:type="dxa"/>
            <w:hideMark/>
          </w:tcPr>
          <w:p w:rsidR="006C40E3" w:rsidRPr="006C40E3" w:rsidRDefault="006C40E3" w:rsidP="006C40E3">
            <w:pPr>
              <w:spacing w:line="276" w:lineRule="auto"/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tbl>
            <w:tblPr>
              <w:tblW w:w="5000" w:type="pct"/>
              <w:tblCellSpacing w:w="0" w:type="dxa"/>
              <w:tblLook w:val="04A0" w:firstRow="1" w:lastRow="0" w:firstColumn="1" w:lastColumn="0" w:noHBand="0" w:noVBand="1"/>
            </w:tblPr>
            <w:tblGrid>
              <w:gridCol w:w="9730"/>
            </w:tblGrid>
            <w:tr w:rsidR="006C40E3" w:rsidRPr="006C40E3" w:rsidTr="0003785F">
              <w:trPr>
                <w:trHeight w:val="302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C40E3" w:rsidRPr="006C40E3" w:rsidRDefault="006C40E3" w:rsidP="006C40E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6C40E3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Gazdasági és pénzügyi alkalmasság</w:t>
                  </w:r>
                </w:p>
              </w:tc>
            </w:tr>
          </w:tbl>
          <w:p w:rsidR="006C40E3" w:rsidRPr="006457CA" w:rsidRDefault="006C40E3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6C40E3" w:rsidRPr="006457CA" w:rsidRDefault="006C40E3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457CA">
              <w:rPr>
                <w:rFonts w:ascii="Times New Roman" w:hAnsi="Times New Roman"/>
                <w:b/>
                <w:color w:val="548DD4" w:themeColor="text2" w:themeTint="99"/>
              </w:rPr>
              <w:t>Alkalmatlannak minősül az Ajánlattevő, ha</w:t>
            </w:r>
          </w:p>
          <w:p w:rsidR="006C40E3" w:rsidRPr="006457CA" w:rsidRDefault="006C40E3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P.1.) a pénzügyi intézménytől származó nyilatkozat tartalma szerint Ajánlattevőnek az ajánlattételi felhívás feladásától visszafelé számított egy évben 2 alkalommal 15 napot meghaladó sorban állítása volt.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A sorba állítás fogalmát a pénzforgalmi szolgáltatás nyújtásáról szóló 2009. évi LXXXV. törvény 2. § 25. pontja határozza meg.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 xml:space="preserve">P.2.) 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 xml:space="preserve">a saját vagy jogelődje éves beszámolójának adatai szerint az adózott eredmény az eljárást megindító felhívás megküldésétől visszafelé számított 3 üzleti év bármelyikében negatív volt. 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Amennyiben az Ajánlattevő a P.2) irattal azért nem rendelkezik az Ajánlatkérő által előírt teljes időszakban, mert az időszak kezdete után kezdte meg működését, alkalmatlannak minősül az Ajánlattevő, ha a 321/2015. (X. 30.) Korm. rendelet 19. § (2) bekezdés esetében Ajánlattevő működési ideje alatt a közbeszerzés tárgyából származó – általános forgalmi adó nélkül számított – árbevétele a működésének ideje alatt nem érte el: nettó 30 millió Ft-ot.</w:t>
            </w:r>
          </w:p>
          <w:p w:rsidR="006C40E3" w:rsidRPr="006457CA" w:rsidRDefault="006C40E3" w:rsidP="004777E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</w:tc>
      </w:tr>
      <w:tr w:rsidR="006C40E3" w:rsidRPr="00B5147F" w:rsidTr="00B31924">
        <w:tc>
          <w:tcPr>
            <w:tcW w:w="9776" w:type="dxa"/>
            <w:hideMark/>
          </w:tcPr>
          <w:p w:rsidR="006C40E3" w:rsidRPr="006457CA" w:rsidRDefault="006C40E3" w:rsidP="006C40E3">
            <w:pPr>
              <w:jc w:val="center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457CA">
              <w:rPr>
                <w:rFonts w:ascii="Times New Roman" w:hAnsi="Times New Roman"/>
                <w:b/>
                <w:color w:val="548DD4" w:themeColor="text2" w:themeTint="99"/>
              </w:rPr>
              <w:t>Műszaki, illetve szakmai alkalmasság</w:t>
            </w:r>
          </w:p>
        </w:tc>
      </w:tr>
      <w:tr w:rsidR="006C40E3" w:rsidRPr="00B5147F" w:rsidTr="00B31924">
        <w:tc>
          <w:tcPr>
            <w:tcW w:w="9776" w:type="dxa"/>
          </w:tcPr>
          <w:p w:rsidR="006457CA" w:rsidRPr="006457CA" w:rsidRDefault="006457CA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4777E9" w:rsidRPr="004777E9" w:rsidRDefault="004777E9" w:rsidP="004777E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4777E9">
              <w:rPr>
                <w:rFonts w:ascii="Times New Roman" w:hAnsi="Times New Roman"/>
                <w:b/>
                <w:color w:val="548DD4" w:themeColor="text2" w:themeTint="99"/>
              </w:rPr>
              <w:t>Alkalmatlannak minősül az ajánlattevő, ha</w:t>
            </w:r>
          </w:p>
          <w:p w:rsidR="004777E9" w:rsidRPr="004777E9" w:rsidRDefault="004777E9" w:rsidP="004777E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 xml:space="preserve">M.1.1.) nem rendelkezik az eljárást megindító felhívás feladásától visszafelé számított öt megelőző évben (60 hónapban) befejezett, műszaki átadás-átvétellel lezárt, épület </w:t>
            </w:r>
            <w:proofErr w:type="spellStart"/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lapostetejének</w:t>
            </w:r>
            <w:proofErr w:type="spellEnd"/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 xml:space="preserve"> hő- és csapadékvíz elleni szigetelésére vonatkozó referenciával, ahol szigeteléssel érintett felület legalább 650 m2 volt.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M.1.2.) nem rendelkezik az eljárást megindító felhívás feladásától visszafelé számított öt megelőző évben (60 hónapban) befejezett, műszaki átadás-átvétellel lezárt, épületgépészeti munkák ellátására vonatkozó referenciával, mely gázkazán telepítést és fűtési hálózat kiépítését tartalmazott.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 xml:space="preserve">A fenti referencia-követelmények egy vagy több referenciával is teljesíthető. 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 xml:space="preserve"> 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Az ajánlatkérő a vizsgált időszak alatt befejezett, de legfeljebb nyolc éven belül megkezdett, építési beruházásokat veszi figyelembe.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Az ajánlatkérő a teljesítés igazolásak</w:t>
            </w:r>
            <w:bookmarkStart w:id="1" w:name="_GoBack"/>
            <w:bookmarkEnd w:id="1"/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ént köteles elfogadni annak igazolását is, ha a referencia követelményben foglalt eredmény vagy tevékenység a szerződés részteljesítéseként valósult meg.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 xml:space="preserve">M2. nem rendelkezik legalább 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M.2.1.</w:t>
            </w:r>
          </w:p>
          <w:p w:rsidR="002D3174" w:rsidRPr="002D3174" w:rsidRDefault="002D3174" w:rsidP="002D3174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eastAsia="Calibri" w:hAnsi="Times New Roman"/>
                <w:b/>
                <w:color w:val="548DD4" w:themeColor="text2" w:themeTint="99"/>
              </w:rPr>
              <w:t>-1 fő szakember, aki Végzettség: a 266/2013. (VII.11.) Korm. rendelet szerinti „MV-É” kategóriájú felelős műszaki vezetői jogosultság megszerzéséhez szükséges, a 266/2013. (VII.11.) Korm. rendelet 1. mellékletének IV. Felelős műszaki vezetés 1. Rész 2) pontjában meghatározott végzettséggel, vagy érvényes, a 266/2013. (VII.11.) Korm. rendelet szerinti „MV-É” felelős műszaki vezetői (vagy a hatályos átsorolás előtti, azzal egyenértékű) jogosultsággal rendelkezik.</w:t>
            </w:r>
          </w:p>
          <w:p w:rsidR="002D3174" w:rsidRPr="002D3174" w:rsidRDefault="002D3174" w:rsidP="002D3174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b/>
                <w:color w:val="548DD4" w:themeColor="text2" w:themeTint="99"/>
              </w:rPr>
            </w:pPr>
          </w:p>
          <w:p w:rsidR="002D3174" w:rsidRPr="002D3174" w:rsidRDefault="002D3174" w:rsidP="002D3174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eastAsia="Calibri" w:hAnsi="Times New Roman"/>
                <w:b/>
                <w:color w:val="548DD4" w:themeColor="text2" w:themeTint="99"/>
              </w:rPr>
              <w:t>Szakmai gyakorlat: a 266/2013. (VII.11.) Korm. rendelet szerinti „MV-É” kategóriájú felelős műszaki vezetői jogosultság megszerzéséhez szükséges, a 266/2013. (VII.11.) Korm. rendelet 1. mellékletének IV. Felelős műszaki vezetés 1. Rész 2) pontjában meghatározott gyakorlattal, vagy érvényes, a 266/2013. (VII. 11.) Korm. rendelet szerinti „MV-É” kategóriájú felelős műszaki vezetői (vagy a hatályos átsorolás előtti, azzal egyenértékű) jogosultsággal rendelkezik.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 xml:space="preserve">valamint </w:t>
            </w:r>
          </w:p>
          <w:p w:rsidR="002D3174" w:rsidRPr="002D3174" w:rsidRDefault="002D3174" w:rsidP="002D3174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hAnsi="Times New Roman"/>
                <w:b/>
                <w:color w:val="548DD4" w:themeColor="text2" w:themeTint="99"/>
              </w:rPr>
              <w:t>M.2.2.</w:t>
            </w:r>
          </w:p>
          <w:p w:rsidR="006C40E3" w:rsidRPr="002D3174" w:rsidRDefault="002D3174" w:rsidP="002D3174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b/>
                <w:color w:val="548DD4" w:themeColor="text2" w:themeTint="99"/>
              </w:rPr>
            </w:pPr>
            <w:r w:rsidRPr="002D3174">
              <w:rPr>
                <w:rFonts w:ascii="Times New Roman" w:eastAsia="Calibri" w:hAnsi="Times New Roman"/>
                <w:b/>
                <w:color w:val="548DD4" w:themeColor="text2" w:themeTint="99"/>
              </w:rPr>
              <w:t>-1 fő szakember, aki Végzettség: a 266/2013. (VII.11.) Korm. rendelet szerinti „MV-ÉG” kategóriájú felelős műszaki vezetői jogosultság megszerzéséhez szükséges, a 266/2013. (VII.11.) Korm. rendelet 1. mellékletének IV. Felelős műszaki vezetés 2. Rész 3) pontjában meghatározott végzettséggel, vagy érvényes, a 266/2013. (VII.11.) Korm. rendelet szerinti „MV-ÉG” felelős műszaki vezetői (vagy a hatályos átsorolás előtti, azzal egyenértékű) jogosultsággal rendelkezik.</w:t>
            </w:r>
          </w:p>
        </w:tc>
      </w:tr>
    </w:tbl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lastRenderedPageBreak/>
        <w:t>V</w:t>
      </w:r>
      <w:r w:rsidRPr="00B5147F">
        <w:rPr>
          <w:rFonts w:ascii="Times New Roman" w:eastAsia="Times New Roman" w:hAnsi="Times New Roman"/>
          <w:b/>
          <w:bCs/>
          <w:sz w:val="28"/>
          <w:szCs w:val="28"/>
        </w:rPr>
        <w:t>. szakasz: Eljárás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B5147F">
        <w:rPr>
          <w:rFonts w:ascii="Times New Roman" w:eastAsia="Times New Roman" w:hAnsi="Times New Roman"/>
          <w:b/>
          <w:bCs/>
          <w:u w:val="wave"/>
        </w:rPr>
        <w:t>V</w:t>
      </w:r>
      <w:r w:rsidRPr="00B5147F">
        <w:rPr>
          <w:rFonts w:ascii="Times New Roman" w:eastAsia="Times New Roman" w:hAnsi="Times New Roman"/>
          <w:b/>
          <w:bCs/>
        </w:rPr>
        <w:t>.1) Adminisztratív információk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7E293B" w:rsidTr="00B31924">
        <w:tc>
          <w:tcPr>
            <w:tcW w:w="9776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V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.1.1) Az eljárás iránti érdeklődés jelzésének határideje</w:t>
            </w:r>
          </w:p>
          <w:p w:rsidR="007E293B" w:rsidRPr="007E293B" w:rsidRDefault="007E293B" w:rsidP="00946E53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Dátum: </w:t>
            </w:r>
            <w:r w:rsidR="00C8271F">
              <w:rPr>
                <w:rFonts w:ascii="Times New Roman" w:hAnsi="Times New Roman"/>
                <w:b/>
                <w:color w:val="548DD4" w:themeColor="text2" w:themeTint="99"/>
              </w:rPr>
              <w:t>2018. 0</w:t>
            </w:r>
            <w:r w:rsidR="00946E53">
              <w:rPr>
                <w:rFonts w:ascii="Times New Roman" w:hAnsi="Times New Roman"/>
                <w:b/>
                <w:color w:val="548DD4" w:themeColor="text2" w:themeTint="99"/>
              </w:rPr>
              <w:t>4. 05</w:t>
            </w:r>
            <w:r w:rsidR="00B5147F" w:rsidRPr="00B5147F">
              <w:rPr>
                <w:rFonts w:ascii="Times New Roman" w:hAnsi="Times New Roman"/>
                <w:b/>
                <w:color w:val="548DD4" w:themeColor="text2" w:themeTint="99"/>
              </w:rPr>
              <w:t>.</w:t>
            </w: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 Helyi idő: </w:t>
            </w:r>
            <w:r w:rsidR="00B5147F" w:rsidRPr="00B5147F">
              <w:rPr>
                <w:rFonts w:ascii="Times New Roman" w:hAnsi="Times New Roman"/>
                <w:b/>
                <w:color w:val="548DD4" w:themeColor="text2" w:themeTint="99"/>
              </w:rPr>
              <w:t>12:00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VI. szakasz: Kiegészítő információk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VI.1) További információk: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7E293B" w:rsidTr="0061046E">
        <w:tc>
          <w:tcPr>
            <w:tcW w:w="9776" w:type="dxa"/>
            <w:hideMark/>
          </w:tcPr>
          <w:p w:rsidR="00B5147F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VI.1.1) Ajánlatkérő felhívja a gazdasági szereplők figyelmét, hogy érdeklődésüket az eljárás iránt az I.2) pontban megadott címen a IV.2.1) pontban meghatározott időpontig jelezzék.</w:t>
            </w:r>
          </w:p>
        </w:tc>
      </w:tr>
      <w:tr w:rsidR="007E293B" w:rsidRPr="007E293B" w:rsidTr="0061046E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VI.1.2) További információk: 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Az érdeklődés jelzése során Ajánlatkérő az alábbi adatok rendelkezésre bocsátását kéri: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eljárás neve, hivatkozva az eljárási azonosítóra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érdeklődő gazdasági szereplő neve, székhelye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működő elektronikus elérhetőség</w:t>
            </w:r>
            <w:r>
              <w:rPr>
                <w:rFonts w:ascii="Times New Roman" w:hAnsi="Times New Roman"/>
                <w:b/>
                <w:color w:val="548DD4" w:themeColor="text2" w:themeTint="99"/>
              </w:rPr>
              <w:t xml:space="preserve"> (email)</w:t>
            </w: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 xml:space="preserve"> és fax szám</w:t>
            </w:r>
          </w:p>
          <w:p w:rsidR="00B5147F" w:rsidRPr="007E293B" w:rsidRDefault="00B5147F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kapcsolattartó neve, elérhetőségei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VI.2) Az összefoglaló tájékoztatás megküldésének dátuma: </w:t>
      </w:r>
      <w:r w:rsidR="00C8271F" w:rsidRPr="00FB24B5">
        <w:rPr>
          <w:rFonts w:ascii="Times New Roman" w:hAnsi="Times New Roman"/>
          <w:b/>
          <w:color w:val="548DD4" w:themeColor="text2" w:themeTint="99"/>
          <w:highlight w:val="yellow"/>
        </w:rPr>
        <w:t>2018. 0</w:t>
      </w:r>
      <w:r w:rsidR="00FB24B5" w:rsidRPr="00FB24B5">
        <w:rPr>
          <w:rFonts w:ascii="Times New Roman" w:hAnsi="Times New Roman"/>
          <w:b/>
          <w:color w:val="548DD4" w:themeColor="text2" w:themeTint="99"/>
          <w:highlight w:val="yellow"/>
        </w:rPr>
        <w:t>3.27.</w:t>
      </w:r>
    </w:p>
    <w:p w:rsidR="007E293B" w:rsidRPr="007E293B" w:rsidRDefault="007E293B" w:rsidP="007E293B">
      <w:pPr>
        <w:spacing w:before="120" w:after="120"/>
        <w:jc w:val="center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</w:rPr>
        <w:t>____________________________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B5147F">
        <w:rPr>
          <w:rFonts w:ascii="Times New Roman" w:eastAsia="Times New Roman" w:hAnsi="Times New Roman"/>
          <w:sz w:val="18"/>
          <w:szCs w:val="18"/>
          <w:vertAlign w:val="superscript"/>
        </w:rPr>
        <w:t>1    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</w:rPr>
        <w:t>szükség szerinti számban ismételje meg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B5147F">
        <w:rPr>
          <w:rFonts w:ascii="Times New Roman" w:eastAsia="Times New Roman" w:hAnsi="Times New Roman"/>
          <w:sz w:val="18"/>
          <w:szCs w:val="18"/>
          <w:vertAlign w:val="superscript"/>
        </w:rPr>
        <w:t>2    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</w:rPr>
        <w:t>adott esetben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B5147F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lastRenderedPageBreak/>
        <w:t>3    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B5147F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t>4    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megadható; ha az ár az egyetlen értékelési szempont, súlyszám nem szükséges</w:t>
      </w:r>
    </w:p>
    <w:sectPr w:rsidR="007E293B" w:rsidRPr="007E293B" w:rsidSect="007E29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2FE8"/>
    <w:multiLevelType w:val="hybridMultilevel"/>
    <w:tmpl w:val="EA4E694C"/>
    <w:lvl w:ilvl="0" w:tplc="A34658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36A"/>
    <w:multiLevelType w:val="hybridMultilevel"/>
    <w:tmpl w:val="06E25DCA"/>
    <w:lvl w:ilvl="0" w:tplc="9C98F748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B6DC0"/>
    <w:multiLevelType w:val="hybridMultilevel"/>
    <w:tmpl w:val="CA9688DC"/>
    <w:lvl w:ilvl="0" w:tplc="57BEA5B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11380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BCF8B0">
      <w:start w:val="12"/>
      <w:numFmt w:val="bullet"/>
      <w:lvlText w:val="-"/>
      <w:lvlJc w:val="left"/>
      <w:pPr>
        <w:ind w:left="2565" w:hanging="585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7D3"/>
    <w:multiLevelType w:val="hybridMultilevel"/>
    <w:tmpl w:val="92A8B4C0"/>
    <w:lvl w:ilvl="0" w:tplc="91C6E0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3B"/>
    <w:rsid w:val="00002831"/>
    <w:rsid w:val="00006CF1"/>
    <w:rsid w:val="00034806"/>
    <w:rsid w:val="00040A6D"/>
    <w:rsid w:val="000778ED"/>
    <w:rsid w:val="000B7E8B"/>
    <w:rsid w:val="000C757F"/>
    <w:rsid w:val="000D50BD"/>
    <w:rsid w:val="000E462F"/>
    <w:rsid w:val="000F6D29"/>
    <w:rsid w:val="00101F5E"/>
    <w:rsid w:val="0012491E"/>
    <w:rsid w:val="00173713"/>
    <w:rsid w:val="0018117E"/>
    <w:rsid w:val="001840EA"/>
    <w:rsid w:val="001977C3"/>
    <w:rsid w:val="002670BE"/>
    <w:rsid w:val="002C6895"/>
    <w:rsid w:val="002D0689"/>
    <w:rsid w:val="002D3174"/>
    <w:rsid w:val="002E6203"/>
    <w:rsid w:val="00336A1A"/>
    <w:rsid w:val="00384EC1"/>
    <w:rsid w:val="00402483"/>
    <w:rsid w:val="004777E9"/>
    <w:rsid w:val="004A7664"/>
    <w:rsid w:val="004C642A"/>
    <w:rsid w:val="00506BAF"/>
    <w:rsid w:val="00513512"/>
    <w:rsid w:val="00520044"/>
    <w:rsid w:val="0061046E"/>
    <w:rsid w:val="00630419"/>
    <w:rsid w:val="00634643"/>
    <w:rsid w:val="006457CA"/>
    <w:rsid w:val="006512C7"/>
    <w:rsid w:val="00663C2A"/>
    <w:rsid w:val="006810A5"/>
    <w:rsid w:val="006C40E3"/>
    <w:rsid w:val="006F548E"/>
    <w:rsid w:val="00737F99"/>
    <w:rsid w:val="007C3BEC"/>
    <w:rsid w:val="007D2593"/>
    <w:rsid w:val="007E293B"/>
    <w:rsid w:val="00874DDF"/>
    <w:rsid w:val="008E789B"/>
    <w:rsid w:val="008F001A"/>
    <w:rsid w:val="008F1AEF"/>
    <w:rsid w:val="0093398C"/>
    <w:rsid w:val="00946E53"/>
    <w:rsid w:val="009C2677"/>
    <w:rsid w:val="009D0FC3"/>
    <w:rsid w:val="009D57CC"/>
    <w:rsid w:val="009D5AC0"/>
    <w:rsid w:val="00A10CDD"/>
    <w:rsid w:val="00A14EE9"/>
    <w:rsid w:val="00A24839"/>
    <w:rsid w:val="00A338BC"/>
    <w:rsid w:val="00A55D45"/>
    <w:rsid w:val="00A56F46"/>
    <w:rsid w:val="00A81B5E"/>
    <w:rsid w:val="00A92B1B"/>
    <w:rsid w:val="00AA1A29"/>
    <w:rsid w:val="00AC495C"/>
    <w:rsid w:val="00AE460B"/>
    <w:rsid w:val="00AE5FB5"/>
    <w:rsid w:val="00AF4AF4"/>
    <w:rsid w:val="00B01F5C"/>
    <w:rsid w:val="00B17D92"/>
    <w:rsid w:val="00B31924"/>
    <w:rsid w:val="00B3410C"/>
    <w:rsid w:val="00B5147F"/>
    <w:rsid w:val="00BF0B81"/>
    <w:rsid w:val="00C11EEB"/>
    <w:rsid w:val="00C8271F"/>
    <w:rsid w:val="00CE1558"/>
    <w:rsid w:val="00D62A8B"/>
    <w:rsid w:val="00D9687F"/>
    <w:rsid w:val="00E43CD6"/>
    <w:rsid w:val="00E76054"/>
    <w:rsid w:val="00E856FD"/>
    <w:rsid w:val="00E85C31"/>
    <w:rsid w:val="00EB35D1"/>
    <w:rsid w:val="00EE3111"/>
    <w:rsid w:val="00F13EFD"/>
    <w:rsid w:val="00F5258D"/>
    <w:rsid w:val="00F64EB3"/>
    <w:rsid w:val="00F73765"/>
    <w:rsid w:val="00F77147"/>
    <w:rsid w:val="00F91098"/>
    <w:rsid w:val="00F97457"/>
    <w:rsid w:val="00FB24B5"/>
    <w:rsid w:val="00FC5FD6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77616-BBB1-49A2-A75A-9463C669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H Sans" w:eastAsia="Calibri" w:hAnsi="KH San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1A"/>
    <w:pPr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Hiperhivatkozs">
    <w:name w:val="Hyperlink"/>
    <w:basedOn w:val="Bekezdsalapbettpusa"/>
    <w:uiPriority w:val="99"/>
    <w:semiHidden/>
    <w:unhideWhenUsed/>
    <w:rsid w:val="007E293B"/>
    <w:rPr>
      <w:color w:val="0000FF"/>
      <w:u w:val="single"/>
    </w:rPr>
  </w:style>
  <w:style w:type="paragraph" w:customStyle="1" w:styleId="np">
    <w:name w:val="np"/>
    <w:basedOn w:val="Norml"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standard">
    <w:name w:val="standard"/>
    <w:basedOn w:val="Norml"/>
    <w:uiPriority w:val="99"/>
    <w:rsid w:val="00B5147F"/>
    <w:pPr>
      <w:jc w:val="left"/>
    </w:pPr>
    <w:rPr>
      <w:rFonts w:ascii="&amp;#39" w:eastAsia="Times New Roman" w:hAnsi="&amp;#39"/>
    </w:rPr>
  </w:style>
  <w:style w:type="paragraph" w:styleId="Nincstrkz">
    <w:name w:val="No Spacing"/>
    <w:uiPriority w:val="99"/>
    <w:qFormat/>
    <w:rsid w:val="00CE155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CE1558"/>
    <w:rPr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CE1558"/>
    <w:pPr>
      <w:spacing w:after="200" w:line="276" w:lineRule="auto"/>
      <w:ind w:left="708"/>
      <w:jc w:val="left"/>
    </w:pPr>
    <w:rPr>
      <w:lang w:eastAsia="en-US"/>
    </w:rPr>
  </w:style>
  <w:style w:type="character" w:styleId="Kiemels2">
    <w:name w:val="Strong"/>
    <w:basedOn w:val="Bekezdsalapbettpusa"/>
    <w:uiPriority w:val="99"/>
    <w:qFormat/>
    <w:rsid w:val="00CE1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Berethalmi András</dc:creator>
  <cp:keywords/>
  <dc:description/>
  <cp:lastModifiedBy>dr. Porkoláb Noémi</cp:lastModifiedBy>
  <cp:revision>9</cp:revision>
  <dcterms:created xsi:type="dcterms:W3CDTF">2018-03-22T09:00:00Z</dcterms:created>
  <dcterms:modified xsi:type="dcterms:W3CDTF">2018-03-22T09:09:00Z</dcterms:modified>
</cp:coreProperties>
</file>