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="00810BFA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="00810BFA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="00810BFA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9D57CC" w:rsidRPr="006C0B26">
              <w:rPr>
                <w:b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Budapest Főváros XIV. Kerület Zugló Önkormányzata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9D57CC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9D57CC"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Pétervárad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9D57C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X </w:t>
            </w:r>
            <w:r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Építési beruházás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5077AF" w:rsidRPr="005077AF" w:rsidRDefault="007E293B" w:rsidP="005077A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B5147F">
              <w:t xml:space="preserve"> </w:t>
            </w:r>
            <w:r w:rsidR="005077AF" w:rsidRPr="005077AF">
              <w:rPr>
                <w:rFonts w:ascii="Times New Roman" w:hAnsi="Times New Roman"/>
                <w:b/>
                <w:color w:val="548DD4" w:themeColor="text2" w:themeTint="99"/>
              </w:rPr>
              <w:t>Intézményi (óvoda, bölcsőde) nyílászáró cserék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663C2A" w:rsidRPr="00663C2A" w:rsidRDefault="007E293B" w:rsidP="005F2D8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9101F9" w:rsidRPr="009101F9" w:rsidRDefault="009101F9" w:rsidP="005F2D8F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Intézményi (óvoda, bölcsőde) nyílászáró cserék:</w:t>
            </w:r>
          </w:p>
          <w:p w:rsidR="009101F9" w:rsidRPr="009101F9" w:rsidRDefault="009101F9" w:rsidP="005F2D8F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9101F9" w:rsidRDefault="009101F9" w:rsidP="005F2D8F">
            <w:pPr>
              <w:pStyle w:val="Nincstrkz"/>
              <w:ind w:left="15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Meglévő fa szerkezetű homlokzati nyílászárók cseréje új, műanyag szerkezetű, háromrétegű üvegezésű ablakokra (profilvastagság min. 80 mm, háromrétegű üvegezés,</w:t>
            </w:r>
          </w:p>
          <w:p w:rsidR="00BC3FB5" w:rsidRDefault="009101F9" w:rsidP="005F2D8F">
            <w:pPr>
              <w:pStyle w:val="Nincstrkz"/>
              <w:ind w:left="15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proofErr w:type="spellStart"/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Uw</w:t>
            </w:r>
            <w:proofErr w:type="spellEnd"/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≤1,15 W/m2K, műanyag könyöklő és műanyag párkány)</w:t>
            </w:r>
          </w:p>
          <w:p w:rsidR="00BC3FB5" w:rsidRDefault="00BC3FB5" w:rsidP="005F2D8F">
            <w:pPr>
              <w:pStyle w:val="Nincstrkz"/>
              <w:ind w:left="15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BC3FB5" w:rsidRDefault="009101F9" w:rsidP="005F2D8F">
            <w:pPr>
              <w:pStyle w:val="Nincstrkz"/>
              <w:ind w:left="15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BC3FB5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A nyílászárók méretei:</w:t>
            </w:r>
          </w:p>
          <w:p w:rsidR="00BC3FB5" w:rsidRDefault="00BC3FB5" w:rsidP="005F2D8F">
            <w:pPr>
              <w:pStyle w:val="Nincstrkz"/>
              <w:ind w:left="15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9101F9" w:rsidRDefault="009101F9" w:rsidP="005F2D8F">
            <w:pPr>
              <w:pStyle w:val="Nincstrkz"/>
              <w:ind w:left="15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BC3FB5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highlight w:val="lightGray"/>
                <w:lang w:eastAsia="hu-HU"/>
              </w:rPr>
              <w:t>I. rész:</w:t>
            </w: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Egressy út 180-184.: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278x275 cm ajtó+ nyíló-bukó ablak+üvegezett fix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8 db 285x190 cm nyíló-bukó ablak+külső redőny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8 db 95x285 cm ajtó+külső redőny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8 db 385x190 cm nyíló-bukó ablak+külső redőny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6 db 190x190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285x95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430x200 cm nyíló-bukó ablak+külső redőny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4 db 265x195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250x195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lastRenderedPageBreak/>
              <w:t>1 db 195x225 cm nyíló-bukó ablak+tömör fix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400x25 cm fix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145x225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95x280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13 db 90x190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3 db 85x280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195x195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485x195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185x140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85x230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385x190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165x270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150x240 ablak+tömör fix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385x240 üvegezett ajtó+nyíló-bukó ablak</w:t>
            </w:r>
          </w:p>
          <w:p w:rsidR="00BC3FB5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3 db 160x160x50 mennyezeti felülvilágító</w:t>
            </w:r>
          </w:p>
          <w:p w:rsidR="00BC3FB5" w:rsidRDefault="00BC3FB5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Fráter György tér 12</w:t>
            </w:r>
            <w:proofErr w:type="gramStart"/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.:</w:t>
            </w:r>
            <w:proofErr w:type="gramEnd"/>
          </w:p>
          <w:p w:rsidR="00BC3FB5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19 db 130x170 cm nyíló-bukó ablak</w:t>
            </w:r>
          </w:p>
          <w:p w:rsidR="00BC3FB5" w:rsidRDefault="00BC3FB5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BC3FB5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highlight w:val="lightGray"/>
                <w:lang w:eastAsia="hu-HU"/>
              </w:rPr>
              <w:t>II. rész:</w:t>
            </w: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Gvadányi utca 40-42.: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140x240 cm ajtó+felülvilágító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112 db 140x200 cm osztott ablak (alul: bukó, fent: nyíló)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Bánki Donát utca 12/G</w:t>
            </w:r>
            <w:proofErr w:type="gramStart"/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.:</w:t>
            </w:r>
            <w:proofErr w:type="gramEnd"/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18 db 170x170 cm osztott ablak (alul: bukó, fent: nyíló)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4 db 70x170 cm osztott ablak (alul: bukó, fent: nyíló)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 xml:space="preserve">16 db 120x120 cm osztott ablak (alul: bukó, fent: nyíló) </w:t>
            </w:r>
          </w:p>
          <w:p w:rsid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4 db 220x170 cm osztott ablak (alul: bukó, fent: nyíló)</w:t>
            </w:r>
          </w:p>
          <w:p w:rsidR="005F2D8F" w:rsidRDefault="005F2D8F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highlight w:val="lightGray"/>
                <w:lang w:eastAsia="hu-HU"/>
              </w:rPr>
              <w:t>III. rész:</w:t>
            </w: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Kerékgyártó utca 35-39.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360x240 cm üvegezett ajtó+üvegezett fix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80x240 cm üvegezett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130x260 cm bejárati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150x170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250v170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200x170 cm nyíló-bukó ablak</w:t>
            </w:r>
          </w:p>
          <w:p w:rsid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70x170 cm nyíló-bukó ablak</w:t>
            </w:r>
          </w:p>
          <w:p w:rsidR="005F2D8F" w:rsidRDefault="005F2D8F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9101F9" w:rsidRPr="005F2D8F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5F2D8F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hu-HU"/>
              </w:rPr>
              <w:t>Ilosvai Selymes tér 5.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6 db 600x300 cm üvegezett ajtó+nyíló-bukó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3 db 300x300 cm üvegezett ajtó+nyíló-bukó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600x260 cm üvegezett fix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1 db 600x260 cm üvegezett ajtó+nyíló-bukó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28 db 120x170 cm nyíló-bukó ablak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3 db 150x260 cm üvegezett fix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120x260 cm tömör ajtó+fix felülvilágító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100x240 cm tömör ajtó</w:t>
            </w:r>
          </w:p>
          <w:p w:rsidR="009101F9" w:rsidRPr="009101F9" w:rsidRDefault="009101F9" w:rsidP="005F2D8F">
            <w:pPr>
              <w:pStyle w:val="Nincstrkz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2 db 300x170 cm nyíló-bukó ablak</w:t>
            </w:r>
          </w:p>
          <w:p w:rsidR="00B5147F" w:rsidRPr="009101F9" w:rsidRDefault="009101F9" w:rsidP="005F2D8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F9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hu-HU"/>
              </w:rPr>
              <w:t>5 db 120x50 cm nyíló-bukó ablak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Időtartam hónapban: </w:t>
            </w:r>
            <w:proofErr w:type="gramStart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proofErr w:type="gramEnd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147F"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napban: </w:t>
            </w:r>
          </w:p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proofErr w:type="gramStart"/>
            <w:r w:rsidRPr="00207726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I .</w:t>
            </w:r>
            <w:proofErr w:type="gramEnd"/>
            <w:r w:rsidRPr="00207726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 rész: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>Egressy út 180-184.: 2018. június 25. – július 22.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>Fráter György tér 12</w:t>
            </w:r>
            <w:proofErr w:type="gramStart"/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>.:</w:t>
            </w:r>
            <w:proofErr w:type="gramEnd"/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 xml:space="preserve"> 2018. július 23. – augusztus 20.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r w:rsidRPr="00207726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II. rész: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>Bánki Donát utca 12/G</w:t>
            </w:r>
            <w:proofErr w:type="gramStart"/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>.:</w:t>
            </w:r>
            <w:proofErr w:type="gramEnd"/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 xml:space="preserve"> 2018. június 25. – július 22.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207726">
              <w:rPr>
                <w:rFonts w:ascii="Times New Roman" w:hAnsi="Times New Roman"/>
                <w:b/>
                <w:color w:val="548DD4" w:themeColor="text2" w:themeTint="99"/>
              </w:rPr>
              <w:t>Gvadányi utca 40-42.: 2018. július 23. – augusztus 20.</w:t>
            </w:r>
          </w:p>
          <w:p w:rsidR="00207726" w:rsidRPr="00207726" w:rsidRDefault="00207726" w:rsidP="00207726">
            <w:pPr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r w:rsidRPr="00207726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III. rész:</w:t>
            </w:r>
          </w:p>
          <w:p w:rsidR="00207726" w:rsidRPr="00207726" w:rsidRDefault="00207726" w:rsidP="00207726">
            <w:pPr>
              <w:pStyle w:val="Nincstrkz"/>
              <w:spacing w:line="276" w:lineRule="auto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207726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Kerékgyártó u. 35-39.: 2018. június 25. – július 22.</w:t>
            </w:r>
          </w:p>
          <w:p w:rsidR="00207726" w:rsidRPr="00207726" w:rsidRDefault="00207726" w:rsidP="00207726">
            <w:pPr>
              <w:pStyle w:val="NormlWeb"/>
              <w:spacing w:before="0" w:beforeAutospacing="0" w:after="0" w:afterAutospacing="0" w:line="276" w:lineRule="auto"/>
              <w:ind w:right="119"/>
              <w:jc w:val="both"/>
              <w:rPr>
                <w:bCs/>
              </w:rPr>
            </w:pPr>
            <w:r w:rsidRPr="00207726">
              <w:rPr>
                <w:rFonts w:eastAsia="Calibri"/>
                <w:b/>
                <w:color w:val="548DD4" w:themeColor="text2" w:themeTint="99"/>
              </w:rPr>
              <w:t>Ilosvai Selymes tér 5</w:t>
            </w:r>
            <w:proofErr w:type="gramStart"/>
            <w:r w:rsidRPr="00207726">
              <w:rPr>
                <w:rFonts w:eastAsia="Calibri"/>
                <w:b/>
                <w:color w:val="548DD4" w:themeColor="text2" w:themeTint="99"/>
              </w:rPr>
              <w:t>.:</w:t>
            </w:r>
            <w:proofErr w:type="gramEnd"/>
            <w:r w:rsidRPr="00207726">
              <w:rPr>
                <w:rFonts w:eastAsia="Calibri"/>
                <w:b/>
                <w:color w:val="548DD4" w:themeColor="text2" w:themeTint="99"/>
              </w:rPr>
              <w:t xml:space="preserve"> 2018. július 23. – augusztus 20.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031062" w:rsidRDefault="007E293B" w:rsidP="00031062">
            <w:pPr>
              <w:pStyle w:val="NormlWeb"/>
              <w:spacing w:after="0"/>
              <w:ind w:right="119"/>
              <w:jc w:val="both"/>
            </w:pPr>
            <w:r w:rsidRPr="00B5147F">
              <w:rPr>
                <w:b/>
                <w:bCs/>
                <w:sz w:val="18"/>
                <w:szCs w:val="18"/>
                <w:u w:val="wave"/>
              </w:rPr>
              <w:t>II.1.5</w:t>
            </w:r>
            <w:r w:rsidRPr="00B5147F">
              <w:rPr>
                <w:b/>
                <w:bCs/>
                <w:sz w:val="18"/>
                <w:szCs w:val="18"/>
              </w:rPr>
              <w:t>) A teljesítés helye:</w:t>
            </w:r>
            <w:r w:rsidR="00B5147F" w:rsidRPr="00B5147F">
              <w:t xml:space="preserve"> 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  <w:u w:val="single"/>
              </w:rPr>
            </w:pPr>
            <w:r w:rsidRPr="00031062">
              <w:rPr>
                <w:rFonts w:eastAsia="Calibri"/>
                <w:b/>
                <w:color w:val="548DD4" w:themeColor="text2" w:themeTint="99"/>
                <w:u w:val="single"/>
              </w:rPr>
              <w:t>I. rész: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</w:rPr>
            </w:pPr>
            <w:r w:rsidRPr="00031062">
              <w:rPr>
                <w:rFonts w:eastAsia="Calibri"/>
                <w:b/>
                <w:color w:val="548DD4" w:themeColor="text2" w:themeTint="99"/>
              </w:rPr>
              <w:t>1141 Budapest, Egressy út 180-184. hrsz.: 31484/118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</w:rPr>
            </w:pPr>
            <w:r w:rsidRPr="00031062">
              <w:rPr>
                <w:rFonts w:eastAsia="Calibri"/>
                <w:b/>
                <w:color w:val="548DD4" w:themeColor="text2" w:themeTint="99"/>
              </w:rPr>
              <w:t>1149 Budapest, Fráter György tér 12. hrsz.: 31907/16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  <w:u w:val="single"/>
              </w:rPr>
            </w:pPr>
            <w:r w:rsidRPr="00031062">
              <w:rPr>
                <w:rFonts w:eastAsia="Calibri"/>
                <w:b/>
                <w:color w:val="548DD4" w:themeColor="text2" w:themeTint="99"/>
                <w:u w:val="single"/>
              </w:rPr>
              <w:t>II. rész: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</w:rPr>
            </w:pPr>
            <w:r w:rsidRPr="00031062">
              <w:rPr>
                <w:rFonts w:eastAsia="Calibri"/>
                <w:b/>
                <w:color w:val="548DD4" w:themeColor="text2" w:themeTint="99"/>
              </w:rPr>
              <w:t>1144 Budapest, Gvadányi utca 40-42. hrsz.: 40373/10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</w:rPr>
            </w:pPr>
            <w:r w:rsidRPr="00031062">
              <w:rPr>
                <w:rFonts w:eastAsia="Calibri"/>
                <w:b/>
                <w:color w:val="548DD4" w:themeColor="text2" w:themeTint="99"/>
              </w:rPr>
              <w:t>1148 Budapest, Bánki Donát utca 12/G. hrsz.: 31913/18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  <w:u w:val="single"/>
              </w:rPr>
            </w:pPr>
            <w:r w:rsidRPr="00031062">
              <w:rPr>
                <w:rFonts w:eastAsia="Calibri"/>
                <w:b/>
                <w:color w:val="548DD4" w:themeColor="text2" w:themeTint="99"/>
                <w:u w:val="single"/>
              </w:rPr>
              <w:t>III. rész:</w:t>
            </w:r>
          </w:p>
          <w:p w:rsidR="00031062" w:rsidRPr="00031062" w:rsidRDefault="00031062" w:rsidP="00031062">
            <w:pPr>
              <w:pStyle w:val="NormlWeb"/>
              <w:spacing w:before="0" w:beforeAutospacing="0" w:after="0" w:afterAutospacing="0"/>
              <w:ind w:right="119"/>
              <w:jc w:val="both"/>
              <w:rPr>
                <w:rFonts w:eastAsia="Calibri"/>
                <w:b/>
                <w:color w:val="548DD4" w:themeColor="text2" w:themeTint="99"/>
              </w:rPr>
            </w:pPr>
            <w:r w:rsidRPr="00031062">
              <w:rPr>
                <w:rFonts w:eastAsia="Calibri"/>
                <w:b/>
                <w:color w:val="548DD4" w:themeColor="text2" w:themeTint="99"/>
              </w:rPr>
              <w:t xml:space="preserve">1147 Budapest, Kerékgyártó utca 35-39. Hrsz.: 30837 </w:t>
            </w:r>
          </w:p>
          <w:p w:rsidR="007E293B" w:rsidRPr="00031062" w:rsidRDefault="00031062" w:rsidP="00031062">
            <w:pPr>
              <w:pStyle w:val="NormlWeb"/>
              <w:spacing w:before="0" w:beforeAutospacing="0" w:after="0" w:afterAutospacing="0" w:line="276" w:lineRule="auto"/>
              <w:ind w:right="119"/>
              <w:jc w:val="both"/>
              <w:rPr>
                <w:rFonts w:eastAsia="Calibri"/>
                <w:b/>
                <w:color w:val="548DD4" w:themeColor="text2" w:themeTint="99"/>
              </w:rPr>
            </w:pPr>
            <w:r>
              <w:rPr>
                <w:rFonts w:eastAsia="Calibri"/>
                <w:b/>
                <w:color w:val="548DD4" w:themeColor="text2" w:themeTint="99"/>
              </w:rPr>
              <w:t xml:space="preserve">1147 </w:t>
            </w:r>
            <w:r w:rsidRPr="00031062">
              <w:rPr>
                <w:rFonts w:eastAsia="Calibri"/>
                <w:b/>
                <w:color w:val="548DD4" w:themeColor="text2" w:themeTint="99"/>
              </w:rPr>
              <w:t>Budapest, Ilosvai Selymes tér 5. Hrsz.: 30778/42</w:t>
            </w:r>
          </w:p>
        </w:tc>
      </w:tr>
    </w:tbl>
    <w:p w:rsidR="007E293B" w:rsidRPr="00B5147F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B5147F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B5147F" w:rsidRDefault="00B5147F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Minőségi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7"/>
              <w:gridCol w:w="553"/>
            </w:tblGrid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E95C85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 xml:space="preserve">Jótállás időtartama (hónap, min. </w:t>
                  </w:r>
                  <w:r w:rsidR="00E95C85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24</w:t>
                  </w: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 xml:space="preserve"> hónap – max. 60 hónap)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Napi késedelmi kötbér mértéke (%/nap, mely az ÁFA nélkül számított összesített vállalkozói díj min. 0,5%-a, max.1,5%-a/nap)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</w:tbl>
          <w:p w:rsidR="004777E9" w:rsidRDefault="004777E9" w:rsidP="004777E9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</w:p>
          <w:p w:rsidR="007E293B" w:rsidRPr="00B5147F" w:rsidRDefault="007E293B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B5147F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Ár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7"/>
              <w:gridCol w:w="553"/>
            </w:tblGrid>
            <w:tr w:rsidR="004777E9" w:rsidRPr="004777E9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E95C85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Szumma vállalási ár (nettó HUF)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70</w:t>
                  </w:r>
                </w:p>
              </w:tc>
            </w:tr>
          </w:tbl>
          <w:p w:rsidR="00B5147F" w:rsidRPr="00F77147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B5147F" w:rsidTr="00B31924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gramEnd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ek):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B5147F" w:rsidRPr="00B5147F" w:rsidRDefault="00B5147F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C40E3" w:rsidRDefault="006C40E3" w:rsidP="006C40E3">
            <w:pPr>
              <w:spacing w:line="276" w:lineRule="auto"/>
              <w:rPr>
                <w:rFonts w:ascii="Times New Roman" w:hAnsi="Times New Roman"/>
                <w:b/>
                <w:color w:val="548DD4" w:themeColor="text2" w:themeTint="99"/>
              </w:rPr>
            </w:pPr>
            <w:bookmarkStart w:id="1" w:name="_GoBack"/>
            <w:bookmarkEnd w:id="1"/>
          </w:p>
          <w:tbl>
            <w:tblPr>
              <w:tblW w:w="5000" w:type="pct"/>
              <w:tblCellSpacing w:w="0" w:type="dxa"/>
              <w:tblLook w:val="04A0"/>
            </w:tblPr>
            <w:tblGrid>
              <w:gridCol w:w="9730"/>
            </w:tblGrid>
            <w:tr w:rsidR="006C40E3" w:rsidRPr="006C40E3" w:rsidTr="0003785F">
              <w:trPr>
                <w:trHeight w:val="30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C40E3" w:rsidRPr="006C40E3" w:rsidRDefault="006C40E3" w:rsidP="006C40E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6C40E3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Gazdasági és pénzügyi alkalmasság</w:t>
                  </w:r>
                </w:p>
              </w:tc>
            </w:tr>
          </w:tbl>
          <w:p w:rsidR="006C40E3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Valamennyi rész estén </w:t>
            </w: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t>P.1.) a pénzügyi intézménytől származó nyilatkozat tartalma szerint Ajánlattevőnek az ajánlattételi felhívás feladásától visszafelé számított egy évben 2 alkalommal 15 napot meghaladó sorban állítása volt.</w:t>
            </w: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t>A sorba állítás fogalmát a pénzforgalmi szolgáltatás nyújtásáról szóló 2009. évi LXXXV. törvény 2. § 25. pontja határozza meg.</w:t>
            </w: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t xml:space="preserve">P.2.) </w:t>
            </w: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t xml:space="preserve">a saját vagy jogelődje éves beszámolójának adatai szerint az adózott eredmény az eljárást megindító felhívás megküldésétől visszafelé számított 3 üzleti év bármelyikében negatív volt. </w:t>
            </w:r>
          </w:p>
          <w:p w:rsidR="00BD64B4" w:rsidRPr="00BD64B4" w:rsidRDefault="00BD64B4" w:rsidP="00BD64B4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t>Amennyiben az Ajánlattevő a P.2) irattal azért nem rendelkezik az Ajánlatkérő által előírt teljes időszakban, mert az időszak kezdete után kezdte meg működését, alkalmatlannak minősül az Ajánlattevő, ha a 321/2015. (X. 30.) Korm. rendelet 19. § (2) bekezdés esetében Ajánlattevő működési ideje alatt a közbeszerzés tárgyából származó – általános forgalmi adó nélkül számított – árbevétele a működésének ideje alatt nem érte el: nettó 10 millió Ft-ot, részenként.</w:t>
            </w:r>
          </w:p>
          <w:p w:rsidR="002720E1" w:rsidRPr="00B31AA1" w:rsidRDefault="00BD64B4" w:rsidP="00344252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D64B4">
              <w:rPr>
                <w:rFonts w:ascii="Times New Roman" w:hAnsi="Times New Roman"/>
                <w:b/>
                <w:color w:val="548DD4" w:themeColor="text2" w:themeTint="99"/>
              </w:rPr>
              <w:br/>
              <w:t>Ajánlatkérő az alábbit érti a „működésének ideje” alatt: A tevékenység megkezdésétől az ajánlat benyújtásáig eltelt időszak.</w:t>
            </w: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457CA" w:rsidRDefault="006C40E3" w:rsidP="006C40E3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Műszaki, illetve szakmai alkalmasság</w:t>
            </w:r>
          </w:p>
        </w:tc>
      </w:tr>
      <w:tr w:rsidR="006C40E3" w:rsidRPr="00B5147F" w:rsidTr="00B31924">
        <w:tc>
          <w:tcPr>
            <w:tcW w:w="9776" w:type="dxa"/>
          </w:tcPr>
          <w:p w:rsidR="006457CA" w:rsidRPr="006457CA" w:rsidRDefault="006457CA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>Valamennyi rész estén alkalmatlannak minősül az Ajánlattevő, ha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br/>
              <w:t>M.1.) részenként nem rendelkezik az eljárást megindító felhívás feladásától visszafelé számított öt megelőző évben (60 hónapban) befejezett, műszaki átadás-átvétellel lezárt, legalább 80 db, legalább 150x180 cm méretű vagy 2,7 m2-t felületet meghaladó műanyag ablak beszerelésére vonatkozó referenciával.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 xml:space="preserve">A fenti referencia-követelmény egy vagy több, de legfeljebb 2 referenciával is teljesíthető. 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>Az ajánlatkérő a vizsgált időszak alatt befejezett, de legfeljebb nyolc éven belül megkezdett, építési beruházásokat veszi figyelembe.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>Az ajánlatkérő a teljesítés igazolásaként köteles elfogadni annak igazolását is, ha a referencia követelményben foglalt eredmény vagy tevékenység a szerződés részteljesítéseként valósult meg.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 xml:space="preserve">M2. részenként nem rendelkezik legalább 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>-1 fő szakember, aki Végzettség: a 266/2013. (VII.11.) Korm. rendelet szerinti „MV-É” kategóriájú felelős műszaki vezetői jogosultság megszerzéséhez szükséges, a 266/2013. (VII.11.) Korm. rendelet 1. mellékletének IV. Felelős műszaki vezetés 1. Rész 2) pontjában meghatározott végzettséggel, vagy érvényes, a 266/2013. (VII.11.) Korm. rendelet szerinti „MV-É” felelős műszaki vezetői (vagy a hatályos átsorolás előtti, azzal egyenértékű) jogosultsággal rendelkezik.</w:t>
            </w:r>
          </w:p>
          <w:p w:rsidR="00C864AF" w:rsidRPr="006347D5" w:rsidRDefault="00C864AF" w:rsidP="00C864A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2D3174" w:rsidRDefault="00C864AF" w:rsidP="006347D5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347D5">
              <w:rPr>
                <w:rFonts w:ascii="Times New Roman" w:hAnsi="Times New Roman"/>
                <w:b/>
                <w:color w:val="548DD4" w:themeColor="text2" w:themeTint="99"/>
              </w:rPr>
              <w:t>Szakmai gyakorlat: a 266/2013. (VII.11.) Korm. rendelet szerinti „MV-É” kategóriájú felelős műszaki vezetői jogosultság megszerzéséhez szükséges, a 266/2013. (VII.11.) Korm. rendelet 1. mellékletének IV. Felelős műszaki vezetés 1. Rész 2) pontjában meghatározott gyakorlattal, vagy érvényes, a 266/2013. (VII. 11.) Korm. rendelet szerinti „MV-É” kategóriájú felelős műszaki vezetői (vagy a hatályos átsorolás előtti, azzal egyenértékű) jogosultsággal rendelkezik.</w:t>
            </w: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7E293B" w:rsidRDefault="007E293B" w:rsidP="002A2CD3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C8271F">
              <w:rPr>
                <w:rFonts w:ascii="Times New Roman" w:hAnsi="Times New Roman"/>
                <w:b/>
                <w:color w:val="548DD4" w:themeColor="text2" w:themeTint="99"/>
              </w:rPr>
              <w:t>2018. 0</w:t>
            </w:r>
            <w:r w:rsidR="00946E53">
              <w:rPr>
                <w:rFonts w:ascii="Times New Roman" w:hAnsi="Times New Roman"/>
                <w:b/>
                <w:color w:val="548DD4" w:themeColor="text2" w:themeTint="99"/>
              </w:rPr>
              <w:t xml:space="preserve">4. </w:t>
            </w:r>
            <w:r w:rsidR="002A2CD3">
              <w:rPr>
                <w:rFonts w:ascii="Times New Roman" w:hAnsi="Times New Roman"/>
                <w:b/>
                <w:color w:val="548DD4" w:themeColor="text2" w:themeTint="99"/>
              </w:rPr>
              <w:t>09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.</w:t>
            </w: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12:00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B5147F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Az érdeklődés jelzése során Ajánlatkérő az alábbi adatok rendelkezésre bocsátását kéri: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eljárás neve, hivatkozva az eljárási azonosítóra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érdeklődő gazdasági szereplő neve, székhelye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működő elektronikus elérhetőség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 xml:space="preserve"> (email)</w:t>
            </w: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 xml:space="preserve"> és fax szám</w:t>
            </w:r>
          </w:p>
          <w:p w:rsidR="00B5147F" w:rsidRPr="007E293B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C8271F" w:rsidRPr="009758E6">
        <w:rPr>
          <w:rFonts w:ascii="Times New Roman" w:hAnsi="Times New Roman"/>
          <w:b/>
          <w:color w:val="548DD4" w:themeColor="text2" w:themeTint="99"/>
        </w:rPr>
        <w:t>2018. 0</w:t>
      </w:r>
      <w:r w:rsidR="00FB24B5" w:rsidRPr="009758E6">
        <w:rPr>
          <w:rFonts w:ascii="Times New Roman" w:hAnsi="Times New Roman"/>
          <w:b/>
          <w:color w:val="548DD4" w:themeColor="text2" w:themeTint="99"/>
        </w:rPr>
        <w:t>3.2</w:t>
      </w:r>
      <w:r w:rsidR="00913359">
        <w:rPr>
          <w:rFonts w:ascii="Times New Roman" w:hAnsi="Times New Roman"/>
          <w:b/>
          <w:color w:val="548DD4" w:themeColor="text2" w:themeTint="99"/>
        </w:rPr>
        <w:t>9</w:t>
      </w:r>
      <w:r w:rsidR="00FB24B5" w:rsidRPr="009758E6">
        <w:rPr>
          <w:rFonts w:ascii="Times New Roman" w:hAnsi="Times New Roman"/>
          <w:b/>
          <w:color w:val="548DD4" w:themeColor="text2" w:themeTint="99"/>
        </w:rPr>
        <w:t>.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70" w:rsidRDefault="00B20370" w:rsidP="00B20370">
      <w:r>
        <w:separator/>
      </w:r>
    </w:p>
  </w:endnote>
  <w:endnote w:type="continuationSeparator" w:id="0">
    <w:p w:rsidR="00B20370" w:rsidRDefault="00B20370" w:rsidP="00B2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8313"/>
      <w:docPartObj>
        <w:docPartGallery w:val="Page Numbers (Bottom of Page)"/>
        <w:docPartUnique/>
      </w:docPartObj>
    </w:sdtPr>
    <w:sdtContent>
      <w:p w:rsidR="00B20370" w:rsidRDefault="00B20370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20370" w:rsidRDefault="00B203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70" w:rsidRDefault="00B20370" w:rsidP="00B20370">
      <w:r>
        <w:separator/>
      </w:r>
    </w:p>
  </w:footnote>
  <w:footnote w:type="continuationSeparator" w:id="0">
    <w:p w:rsidR="00B20370" w:rsidRDefault="00B20370" w:rsidP="00B20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E8"/>
    <w:multiLevelType w:val="hybridMultilevel"/>
    <w:tmpl w:val="EA4E694C"/>
    <w:lvl w:ilvl="0" w:tplc="A3465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36A"/>
    <w:multiLevelType w:val="hybridMultilevel"/>
    <w:tmpl w:val="06E25DCA"/>
    <w:lvl w:ilvl="0" w:tplc="9C98F748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F81"/>
    <w:multiLevelType w:val="hybridMultilevel"/>
    <w:tmpl w:val="5444096E"/>
    <w:lvl w:ilvl="0" w:tplc="17187A54">
      <w:start w:val="114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6DC0"/>
    <w:multiLevelType w:val="hybridMultilevel"/>
    <w:tmpl w:val="CA9688DC"/>
    <w:lvl w:ilvl="0" w:tplc="57BEA5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1380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BCF8B0">
      <w:start w:val="12"/>
      <w:numFmt w:val="bullet"/>
      <w:lvlText w:val="-"/>
      <w:lvlJc w:val="left"/>
      <w:pPr>
        <w:ind w:left="2565" w:hanging="58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3B"/>
    <w:rsid w:val="00002831"/>
    <w:rsid w:val="00006CF1"/>
    <w:rsid w:val="00031062"/>
    <w:rsid w:val="00034806"/>
    <w:rsid w:val="00040A6D"/>
    <w:rsid w:val="000778ED"/>
    <w:rsid w:val="000B7E8B"/>
    <w:rsid w:val="000C757F"/>
    <w:rsid w:val="000D50BD"/>
    <w:rsid w:val="000E462F"/>
    <w:rsid w:val="000F6D29"/>
    <w:rsid w:val="00101F5E"/>
    <w:rsid w:val="0012491E"/>
    <w:rsid w:val="00173713"/>
    <w:rsid w:val="0018117E"/>
    <w:rsid w:val="001840EA"/>
    <w:rsid w:val="001977C3"/>
    <w:rsid w:val="00207726"/>
    <w:rsid w:val="002670BE"/>
    <w:rsid w:val="002720E1"/>
    <w:rsid w:val="002A2CD3"/>
    <w:rsid w:val="002C6895"/>
    <w:rsid w:val="002D0689"/>
    <w:rsid w:val="002D3174"/>
    <w:rsid w:val="002E6203"/>
    <w:rsid w:val="00336A1A"/>
    <w:rsid w:val="00344252"/>
    <w:rsid w:val="00384EC1"/>
    <w:rsid w:val="003E095F"/>
    <w:rsid w:val="00402483"/>
    <w:rsid w:val="004628D3"/>
    <w:rsid w:val="004777E9"/>
    <w:rsid w:val="004A7664"/>
    <w:rsid w:val="004C642A"/>
    <w:rsid w:val="00506BAF"/>
    <w:rsid w:val="005077AF"/>
    <w:rsid w:val="00513512"/>
    <w:rsid w:val="00520044"/>
    <w:rsid w:val="00573967"/>
    <w:rsid w:val="00594DEF"/>
    <w:rsid w:val="005E5929"/>
    <w:rsid w:val="005F2D8F"/>
    <w:rsid w:val="0061046E"/>
    <w:rsid w:val="00630419"/>
    <w:rsid w:val="00634643"/>
    <w:rsid w:val="006347D5"/>
    <w:rsid w:val="006457CA"/>
    <w:rsid w:val="006512C7"/>
    <w:rsid w:val="00663C2A"/>
    <w:rsid w:val="006810A5"/>
    <w:rsid w:val="006C40E3"/>
    <w:rsid w:val="006F548E"/>
    <w:rsid w:val="00737F99"/>
    <w:rsid w:val="007C3BEC"/>
    <w:rsid w:val="007D2593"/>
    <w:rsid w:val="007E293B"/>
    <w:rsid w:val="00810BFA"/>
    <w:rsid w:val="00837E3C"/>
    <w:rsid w:val="00874DDF"/>
    <w:rsid w:val="008E789B"/>
    <w:rsid w:val="008F001A"/>
    <w:rsid w:val="008F1AEF"/>
    <w:rsid w:val="009101F9"/>
    <w:rsid w:val="00913359"/>
    <w:rsid w:val="0093398C"/>
    <w:rsid w:val="00946E53"/>
    <w:rsid w:val="009758E6"/>
    <w:rsid w:val="009C2677"/>
    <w:rsid w:val="009D0FC3"/>
    <w:rsid w:val="009D57CC"/>
    <w:rsid w:val="009D5AC0"/>
    <w:rsid w:val="00A10CDD"/>
    <w:rsid w:val="00A14EE9"/>
    <w:rsid w:val="00A24839"/>
    <w:rsid w:val="00A338BC"/>
    <w:rsid w:val="00A55D45"/>
    <w:rsid w:val="00A56F46"/>
    <w:rsid w:val="00A62F5E"/>
    <w:rsid w:val="00A81B5E"/>
    <w:rsid w:val="00A92B1B"/>
    <w:rsid w:val="00AA1A29"/>
    <w:rsid w:val="00AC495C"/>
    <w:rsid w:val="00AE460B"/>
    <w:rsid w:val="00AE5FB5"/>
    <w:rsid w:val="00AF4AF4"/>
    <w:rsid w:val="00B01F5C"/>
    <w:rsid w:val="00B17D92"/>
    <w:rsid w:val="00B20370"/>
    <w:rsid w:val="00B31924"/>
    <w:rsid w:val="00B31AA1"/>
    <w:rsid w:val="00B3410C"/>
    <w:rsid w:val="00B5147F"/>
    <w:rsid w:val="00BC3FB5"/>
    <w:rsid w:val="00BD64B4"/>
    <w:rsid w:val="00BF0B81"/>
    <w:rsid w:val="00C11EEB"/>
    <w:rsid w:val="00C8271F"/>
    <w:rsid w:val="00C864AF"/>
    <w:rsid w:val="00CE1558"/>
    <w:rsid w:val="00D62A8B"/>
    <w:rsid w:val="00D9687F"/>
    <w:rsid w:val="00E43CD6"/>
    <w:rsid w:val="00E76054"/>
    <w:rsid w:val="00E856FD"/>
    <w:rsid w:val="00E85C31"/>
    <w:rsid w:val="00E95C85"/>
    <w:rsid w:val="00EB35D1"/>
    <w:rsid w:val="00ED3318"/>
    <w:rsid w:val="00EE3111"/>
    <w:rsid w:val="00F07B9E"/>
    <w:rsid w:val="00F132CF"/>
    <w:rsid w:val="00F13EFD"/>
    <w:rsid w:val="00F5258D"/>
    <w:rsid w:val="00F64EB3"/>
    <w:rsid w:val="00F73765"/>
    <w:rsid w:val="00F77147"/>
    <w:rsid w:val="00F91098"/>
    <w:rsid w:val="00F930AD"/>
    <w:rsid w:val="00F97457"/>
    <w:rsid w:val="00FB24B5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standard">
    <w:name w:val="standard"/>
    <w:basedOn w:val="Norml"/>
    <w:uiPriority w:val="99"/>
    <w:rsid w:val="00B5147F"/>
    <w:pPr>
      <w:jc w:val="left"/>
    </w:pPr>
    <w:rPr>
      <w:rFonts w:ascii="&amp;#39" w:eastAsia="Times New Roman" w:hAnsi="&amp;#39"/>
    </w:rPr>
  </w:style>
  <w:style w:type="paragraph" w:styleId="Nincstrkz">
    <w:name w:val="No Spacing"/>
    <w:uiPriority w:val="99"/>
    <w:qFormat/>
    <w:rsid w:val="00CE155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E1558"/>
    <w:rPr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CE1558"/>
    <w:pPr>
      <w:spacing w:after="200" w:line="276" w:lineRule="auto"/>
      <w:ind w:left="708"/>
      <w:jc w:val="left"/>
    </w:pPr>
    <w:rPr>
      <w:lang w:eastAsia="en-US"/>
    </w:rPr>
  </w:style>
  <w:style w:type="character" w:styleId="Kiemels2">
    <w:name w:val="Strong"/>
    <w:basedOn w:val="Bekezdsalapbettpusa"/>
    <w:uiPriority w:val="99"/>
    <w:qFormat/>
    <w:rsid w:val="00CE1558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B203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0370"/>
  </w:style>
  <w:style w:type="paragraph" w:styleId="llb">
    <w:name w:val="footer"/>
    <w:basedOn w:val="Norml"/>
    <w:link w:val="llbChar"/>
    <w:uiPriority w:val="99"/>
    <w:unhideWhenUsed/>
    <w:rsid w:val="00B203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Berethalmi András</dc:creator>
  <cp:lastModifiedBy>napholcz</cp:lastModifiedBy>
  <cp:revision>2</cp:revision>
  <dcterms:created xsi:type="dcterms:W3CDTF">2018-03-28T14:36:00Z</dcterms:created>
  <dcterms:modified xsi:type="dcterms:W3CDTF">2018-03-28T14:36:00Z</dcterms:modified>
</cp:coreProperties>
</file>