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AF" w:rsidRPr="000A70AF" w:rsidRDefault="000A70AF" w:rsidP="000A70AF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70AF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bookmarkStart w:id="0" w:name="_GoBack"/>
      <w:bookmarkEnd w:id="0"/>
      <w:r w:rsidRPr="000A70AF">
        <w:rPr>
          <w:rFonts w:ascii="Times New Roman" w:hAnsi="Times New Roman" w:cs="Times New Roman"/>
          <w:sz w:val="24"/>
          <w:szCs w:val="24"/>
          <w:u w:val="single"/>
        </w:rPr>
        <w:t>melléklet</w:t>
      </w:r>
    </w:p>
    <w:p w:rsidR="000A70AF" w:rsidRDefault="000A70AF" w:rsidP="000A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AF">
        <w:rPr>
          <w:rFonts w:ascii="Times New Roman" w:hAnsi="Times New Roman" w:cs="Times New Roman"/>
          <w:b/>
          <w:sz w:val="28"/>
          <w:szCs w:val="28"/>
        </w:rPr>
        <w:t>A bírósági ülnökök jogai és kötelezettségei</w:t>
      </w:r>
    </w:p>
    <w:p w:rsid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>Az ülnökökre vonatkozó legfontosabb rendelkezéseket a bíróságok szervezetéről és igazgatásáról szóló 2011. évi CLXI. törvény (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Bszi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>.) és a bírák jogállásáról és javadalmazásáról szóló 2011. évi CLXII. törvény (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 xml:space="preserve">.) tartalmazza. </w:t>
      </w:r>
    </w:p>
    <w:p w:rsid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>Ülnöknek az a 30. évét betöltött magyar állampolgár választható meg, aki nem áll a cselekvőképességet érintő gondnokság, vagy támogatott döntéshozatal hatálya alatt, továbbá büntetlen előéletű és nem áll közügyekt</w:t>
      </w:r>
      <w:r>
        <w:rPr>
          <w:rFonts w:ascii="Times New Roman" w:hAnsi="Times New Roman" w:cs="Times New Roman"/>
          <w:sz w:val="24"/>
          <w:szCs w:val="24"/>
        </w:rPr>
        <w:t>ől eltiltás hatálya alatt sem. [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 xml:space="preserve">. </w:t>
      </w:r>
      <w:r w:rsidR="00DE0336">
        <w:rPr>
          <w:rFonts w:ascii="Times New Roman" w:hAnsi="Times New Roman" w:cs="Times New Roman"/>
          <w:sz w:val="24"/>
          <w:szCs w:val="24"/>
        </w:rPr>
        <w:t xml:space="preserve">212. § (1) </w:t>
      </w:r>
      <w:proofErr w:type="spellStart"/>
      <w:r w:rsidR="00DE033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DE0336">
        <w:rPr>
          <w:rFonts w:ascii="Times New Roman" w:hAnsi="Times New Roman" w:cs="Times New Roman"/>
          <w:sz w:val="24"/>
          <w:szCs w:val="24"/>
        </w:rPr>
        <w:t>.</w:t>
      </w:r>
      <w:r w:rsidRPr="000A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Az ülnököknek az ítélkezésben a hivatásos bírákkal azonos jogaik és kötelezettségeik vannak.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Az ülnökök megbízatása 4 évre szól. </w:t>
      </w:r>
    </w:p>
    <w:p w:rsid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>Az ülnökök a megbízatásuk időtartama alatt nem lehetnek tagjai pártnak és politikai t</w:t>
      </w:r>
      <w:r>
        <w:rPr>
          <w:rFonts w:ascii="Times New Roman" w:hAnsi="Times New Roman" w:cs="Times New Roman"/>
          <w:sz w:val="24"/>
          <w:szCs w:val="24"/>
        </w:rPr>
        <w:t>evékenységet sem folytathatnak [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 xml:space="preserve">. 212. § (3) 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A70AF">
        <w:rPr>
          <w:rFonts w:ascii="Times New Roman" w:hAnsi="Times New Roman" w:cs="Times New Roman"/>
          <w:sz w:val="24"/>
          <w:szCs w:val="24"/>
        </w:rPr>
        <w:t xml:space="preserve"> Az országgyűlési képviselői megbízatás, az önkormányzati képviselő-testületi tagság politikai tevékenységnek tekintendő. Nem politikai tevékenység a munkavállalói - szakmai, érdekvédelmi - szervezetben való részvétel.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Az ülnököt az igazságszolgáltatásban való részvételével összefüggő cselekménye tekintetében mentelmi jog illeti meg. A mentesség terjedelmére és az ülnök mentelmi jogának felfüggesztésére vonatkozó szabályokat a 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 xml:space="preserve">. 2. § (4) és (5) bekezdése tartalmazza.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 megválasztott ülnöknek bírói esküt kell tennie. </w:t>
      </w:r>
    </w:p>
    <w:p w:rsid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Az ülnököt a bíróság elnöke hívja be és osztja be az ítélkező tanácsba. E tisztsége gyakorlásának idejére az ülnököt a 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 xml:space="preserve">. 221. § rendelkezései szerint távolléti díj, illetőleg tiszteletdíj illeti meg, amelyet a bíróságok költségvetésükből térítenek meg.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70AF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0A70AF">
        <w:rPr>
          <w:rFonts w:ascii="Times New Roman" w:hAnsi="Times New Roman" w:cs="Times New Roman"/>
          <w:sz w:val="24"/>
          <w:szCs w:val="24"/>
        </w:rPr>
        <w:t xml:space="preserve">. 221. </w:t>
      </w:r>
      <w:proofErr w:type="gramStart"/>
      <w:r w:rsidRPr="000A70AF">
        <w:rPr>
          <w:rFonts w:ascii="Times New Roman" w:hAnsi="Times New Roman" w:cs="Times New Roman"/>
          <w:sz w:val="24"/>
          <w:szCs w:val="24"/>
        </w:rPr>
        <w:t>§ (1) bekezdésében foglaltak szerint a munkaviszonyban, kormányzati szolgálati, állami szolgálati, közszolgálati vagy közalkalmazotti jogviszonyban, rendvédelmi igazgatási szolgálati jogviszonyban, honvédelmi alkalmazotti jogviszonyban, a rendvédelmi feladatokat ellátó szervek hivatásos állományának szolgálati jogviszonyáról szóló törvény szerinti rendvédelmi feladatokat ellátó szerveknél és a Magyar Honvédségnél szolgálati viszonyban, vagy foglalkoztatásra irányuló más jogviszonyban (szövetkezetnél munkaviszony jellegű jogviszonyban stb.) álló ülnököt ülnöki működésének időtartamára a távolléti</w:t>
      </w:r>
      <w:proofErr w:type="gramEnd"/>
      <w:r w:rsidRPr="000A7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0AF">
        <w:rPr>
          <w:rFonts w:ascii="Times New Roman" w:hAnsi="Times New Roman" w:cs="Times New Roman"/>
          <w:sz w:val="24"/>
          <w:szCs w:val="24"/>
        </w:rPr>
        <w:t>díja</w:t>
      </w:r>
      <w:proofErr w:type="gramEnd"/>
      <w:r w:rsidRPr="000A70AF">
        <w:rPr>
          <w:rFonts w:ascii="Times New Roman" w:hAnsi="Times New Roman" w:cs="Times New Roman"/>
          <w:sz w:val="24"/>
          <w:szCs w:val="24"/>
        </w:rPr>
        <w:t xml:space="preserve"> illeti meg.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 (3) bekezdés alapján az (1) bekezdésben meghatározott jogviszonyokban nem álló, vagy az ülnöki működése idejére munkabérben (díjazásban) nem részesülő ülnököt tiszteletdíj illeti meg. A tiszteletdíj mértéke az ülnök működésének minden napjára a bírói illetményalap (453.330 Ft) egy munkanapra eső összegének a 25 százaléka.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Az (5) bekezdés szerint az ülnök a hivatalos kiküldetésével járó költségeket a bírákra irányadó rendelkezések megfelelő alkalmazásával számolhatja el.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Joga az ülnöknek, hogy a behívásáról legalább egy hónappal korábban értesüljön, illetve, hogy kérésére, fontos okból a bíróság elnöke elhalaszthassa a működése megkezdésének időpontját.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lastRenderedPageBreak/>
        <w:t xml:space="preserve">Az ítélkező tanácshoz beosztott ülnök joga, hogy a tárgyalandó ügyek tény- és joganyagát megismerhesse, arról őt az ítélkező tanács elnöke tájékoztassa.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Az ítélet meghozatalát megelőző zárt tanácskozással kapcsolatos tanácskozási titok megőrzése az ülnök számára is kötelező. Ez vonatkozik a </w:t>
      </w:r>
      <w:r>
        <w:rPr>
          <w:rFonts w:ascii="Times New Roman" w:hAnsi="Times New Roman" w:cs="Times New Roman"/>
          <w:sz w:val="24"/>
          <w:szCs w:val="24"/>
        </w:rPr>
        <w:t>minősített adatokra</w:t>
      </w:r>
      <w:r w:rsidRPr="000A70AF">
        <w:rPr>
          <w:rFonts w:ascii="Times New Roman" w:hAnsi="Times New Roman" w:cs="Times New Roman"/>
          <w:sz w:val="24"/>
          <w:szCs w:val="24"/>
        </w:rPr>
        <w:t xml:space="preserve"> is.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ülnök megbízatása megszűnik [</w:t>
      </w:r>
      <w:proofErr w:type="spellStart"/>
      <w:r>
        <w:rPr>
          <w:rFonts w:ascii="Times New Roman" w:hAnsi="Times New Roman" w:cs="Times New Roman"/>
          <w:sz w:val="24"/>
          <w:szCs w:val="24"/>
        </w:rPr>
        <w:t>Bjt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220. 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  <w:r w:rsidRPr="000A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0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70AF">
        <w:rPr>
          <w:rFonts w:ascii="Times New Roman" w:hAnsi="Times New Roman" w:cs="Times New Roman"/>
          <w:sz w:val="24"/>
          <w:szCs w:val="24"/>
        </w:rPr>
        <w:t xml:space="preserve">) az ülnök halálával,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b) a megbízatásának lejártával,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c) ha a 212. § (1) bekezdésében foglalt feltételek valamelyike már nem áll fenn,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d) a 70. év betöltésével,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0A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A70AF">
        <w:rPr>
          <w:rFonts w:ascii="Times New Roman" w:hAnsi="Times New Roman" w:cs="Times New Roman"/>
          <w:sz w:val="24"/>
          <w:szCs w:val="24"/>
        </w:rPr>
        <w:t xml:space="preserve">) lemondással (képviselő-testülethez intézett írásbeli nyilatkozatával),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0A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A70AF">
        <w:rPr>
          <w:rFonts w:ascii="Times New Roman" w:hAnsi="Times New Roman" w:cs="Times New Roman"/>
          <w:sz w:val="24"/>
          <w:szCs w:val="24"/>
        </w:rPr>
        <w:t xml:space="preserve">) ha a 219. § (4) bekezdésében meghatározott esetben az ülnököt megválasztó képviselő-testület az ülnököt visszahívja.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A katonai ülnök megbízatása - a nyugállományba helyezést kivéve - akkor is megszűnik, ha a szolgálati viszonya megszűnt. </w:t>
      </w: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AF" w:rsidRPr="000A70AF" w:rsidRDefault="000A70AF" w:rsidP="000A7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0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70AF" w:rsidRPr="000A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E6F"/>
    <w:multiLevelType w:val="hybridMultilevel"/>
    <w:tmpl w:val="6150A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AF"/>
    <w:rsid w:val="000A70AF"/>
    <w:rsid w:val="00A474CD"/>
    <w:rsid w:val="00AA3512"/>
    <w:rsid w:val="00D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B42B-CC84-483E-93C4-DFD6DC1D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Vattamány Gyula dr.</dc:creator>
  <cp:keywords/>
  <dc:description/>
  <cp:lastModifiedBy>Vattamány Gyula dr.</cp:lastModifiedBy>
  <cp:revision>3</cp:revision>
  <dcterms:created xsi:type="dcterms:W3CDTF">2019-03-21T08:22:00Z</dcterms:created>
  <dcterms:modified xsi:type="dcterms:W3CDTF">2019-03-22T09:18:00Z</dcterms:modified>
</cp:coreProperties>
</file>