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0AF" w:rsidRPr="000A70AF" w:rsidRDefault="000A70AF" w:rsidP="000A70AF">
      <w:pPr>
        <w:pStyle w:val="Listaszerbekezds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A70AF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bookmarkStart w:id="0" w:name="_GoBack"/>
      <w:bookmarkEnd w:id="0"/>
      <w:r w:rsidRPr="000A70AF">
        <w:rPr>
          <w:rFonts w:ascii="Times New Roman" w:hAnsi="Times New Roman" w:cs="Times New Roman"/>
          <w:sz w:val="24"/>
          <w:szCs w:val="24"/>
          <w:u w:val="single"/>
        </w:rPr>
        <w:t>melléklet</w:t>
      </w:r>
    </w:p>
    <w:p w:rsidR="000A70AF" w:rsidRDefault="000A70AF" w:rsidP="000A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0AF" w:rsidRPr="000A70AF" w:rsidRDefault="000A70AF" w:rsidP="000A7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0AF">
        <w:rPr>
          <w:rFonts w:ascii="Times New Roman" w:hAnsi="Times New Roman" w:cs="Times New Roman"/>
          <w:b/>
          <w:sz w:val="28"/>
          <w:szCs w:val="28"/>
        </w:rPr>
        <w:t>A bírósági ülnökök jogai és kötelezettségei</w:t>
      </w:r>
    </w:p>
    <w:p w:rsidR="000A70AF" w:rsidRDefault="000A70AF" w:rsidP="000A7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0AF" w:rsidRPr="000A70AF" w:rsidRDefault="000A70AF" w:rsidP="000A7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0AF">
        <w:rPr>
          <w:rFonts w:ascii="Times New Roman" w:hAnsi="Times New Roman" w:cs="Times New Roman"/>
          <w:sz w:val="24"/>
          <w:szCs w:val="24"/>
        </w:rPr>
        <w:t>Az ülnökökre vonatkozó legfontosabb rendelkezéseket a bíróságok szervezetéről és igazgatásáról szóló 2011. évi CLXI. törvény (</w:t>
      </w:r>
      <w:proofErr w:type="spellStart"/>
      <w:r w:rsidRPr="000A70AF">
        <w:rPr>
          <w:rFonts w:ascii="Times New Roman" w:hAnsi="Times New Roman" w:cs="Times New Roman"/>
          <w:sz w:val="24"/>
          <w:szCs w:val="24"/>
        </w:rPr>
        <w:t>Bszi</w:t>
      </w:r>
      <w:proofErr w:type="spellEnd"/>
      <w:r w:rsidRPr="000A70AF">
        <w:rPr>
          <w:rFonts w:ascii="Times New Roman" w:hAnsi="Times New Roman" w:cs="Times New Roman"/>
          <w:sz w:val="24"/>
          <w:szCs w:val="24"/>
        </w:rPr>
        <w:t>.) és a bírák jogállásáról és javadalmazásáról szóló 2011. évi CLXII. törvény (</w:t>
      </w:r>
      <w:proofErr w:type="spellStart"/>
      <w:r w:rsidRPr="000A70AF">
        <w:rPr>
          <w:rFonts w:ascii="Times New Roman" w:hAnsi="Times New Roman" w:cs="Times New Roman"/>
          <w:sz w:val="24"/>
          <w:szCs w:val="24"/>
        </w:rPr>
        <w:t>Bjt</w:t>
      </w:r>
      <w:proofErr w:type="spellEnd"/>
      <w:r w:rsidRPr="000A70AF">
        <w:rPr>
          <w:rFonts w:ascii="Times New Roman" w:hAnsi="Times New Roman" w:cs="Times New Roman"/>
          <w:sz w:val="24"/>
          <w:szCs w:val="24"/>
        </w:rPr>
        <w:t xml:space="preserve">.) tartalmazza. </w:t>
      </w:r>
    </w:p>
    <w:p w:rsidR="000A70AF" w:rsidRDefault="000A70AF" w:rsidP="000A7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0AF" w:rsidRPr="000A70AF" w:rsidRDefault="000A70AF" w:rsidP="000A7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0AF">
        <w:rPr>
          <w:rFonts w:ascii="Times New Roman" w:hAnsi="Times New Roman" w:cs="Times New Roman"/>
          <w:sz w:val="24"/>
          <w:szCs w:val="24"/>
        </w:rPr>
        <w:t>Ülnöknek az a 30. évét betöltött magyar állampolgár választható meg, aki nem áll a cselekvőképességet érintő gondnokság, vagy támogatott döntéshozatal hatálya alatt, továbbá büntetlen előéletű és nem áll közügyekt</w:t>
      </w:r>
      <w:r>
        <w:rPr>
          <w:rFonts w:ascii="Times New Roman" w:hAnsi="Times New Roman" w:cs="Times New Roman"/>
          <w:sz w:val="24"/>
          <w:szCs w:val="24"/>
        </w:rPr>
        <w:t>ől eltiltás hatálya alatt sem. [</w:t>
      </w:r>
      <w:proofErr w:type="spellStart"/>
      <w:r w:rsidRPr="000A70AF">
        <w:rPr>
          <w:rFonts w:ascii="Times New Roman" w:hAnsi="Times New Roman" w:cs="Times New Roman"/>
          <w:sz w:val="24"/>
          <w:szCs w:val="24"/>
        </w:rPr>
        <w:t>Bjt</w:t>
      </w:r>
      <w:proofErr w:type="spellEnd"/>
      <w:r w:rsidRPr="000A70AF">
        <w:rPr>
          <w:rFonts w:ascii="Times New Roman" w:hAnsi="Times New Roman" w:cs="Times New Roman"/>
          <w:sz w:val="24"/>
          <w:szCs w:val="24"/>
        </w:rPr>
        <w:t xml:space="preserve">. </w:t>
      </w:r>
      <w:r w:rsidR="00DE0336">
        <w:rPr>
          <w:rFonts w:ascii="Times New Roman" w:hAnsi="Times New Roman" w:cs="Times New Roman"/>
          <w:sz w:val="24"/>
          <w:szCs w:val="24"/>
        </w:rPr>
        <w:t xml:space="preserve">212. § (1) </w:t>
      </w:r>
      <w:proofErr w:type="spellStart"/>
      <w:r w:rsidR="00DE0336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="00DE0336">
        <w:rPr>
          <w:rFonts w:ascii="Times New Roman" w:hAnsi="Times New Roman" w:cs="Times New Roman"/>
          <w:sz w:val="24"/>
          <w:szCs w:val="24"/>
        </w:rPr>
        <w:t>.</w:t>
      </w:r>
      <w:r w:rsidRPr="000A70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0AF" w:rsidRPr="000A70AF" w:rsidRDefault="000A70AF" w:rsidP="000A7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0AF" w:rsidRPr="000A70AF" w:rsidRDefault="000A70AF" w:rsidP="000A7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0AF">
        <w:rPr>
          <w:rFonts w:ascii="Times New Roman" w:hAnsi="Times New Roman" w:cs="Times New Roman"/>
          <w:sz w:val="24"/>
          <w:szCs w:val="24"/>
        </w:rPr>
        <w:t xml:space="preserve">Az ülnököknek az ítélkezésben a hivatásos bírákkal azonos jogaik és kötelezettségeik vannak. </w:t>
      </w:r>
    </w:p>
    <w:p w:rsidR="000A70AF" w:rsidRPr="000A70AF" w:rsidRDefault="000A70AF" w:rsidP="000A7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0AF" w:rsidRPr="000A70AF" w:rsidRDefault="000A70AF" w:rsidP="000A7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0AF">
        <w:rPr>
          <w:rFonts w:ascii="Times New Roman" w:hAnsi="Times New Roman" w:cs="Times New Roman"/>
          <w:sz w:val="24"/>
          <w:szCs w:val="24"/>
        </w:rPr>
        <w:t xml:space="preserve">Az ülnökök megbízatása 4 évre szól. </w:t>
      </w:r>
    </w:p>
    <w:p w:rsidR="000A70AF" w:rsidRDefault="000A70AF" w:rsidP="000A7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0AF" w:rsidRPr="000A70AF" w:rsidRDefault="000A70AF" w:rsidP="000A7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0AF">
        <w:rPr>
          <w:rFonts w:ascii="Times New Roman" w:hAnsi="Times New Roman" w:cs="Times New Roman"/>
          <w:sz w:val="24"/>
          <w:szCs w:val="24"/>
        </w:rPr>
        <w:t>Az ülnökök a megbízatásuk időtartama alatt nem lehetnek tagjai pártnak és politikai t</w:t>
      </w:r>
      <w:r>
        <w:rPr>
          <w:rFonts w:ascii="Times New Roman" w:hAnsi="Times New Roman" w:cs="Times New Roman"/>
          <w:sz w:val="24"/>
          <w:szCs w:val="24"/>
        </w:rPr>
        <w:t>evékenységet sem folytathatnak [</w:t>
      </w:r>
      <w:proofErr w:type="spellStart"/>
      <w:r w:rsidRPr="000A70AF">
        <w:rPr>
          <w:rFonts w:ascii="Times New Roman" w:hAnsi="Times New Roman" w:cs="Times New Roman"/>
          <w:sz w:val="24"/>
          <w:szCs w:val="24"/>
        </w:rPr>
        <w:t>Bjt</w:t>
      </w:r>
      <w:proofErr w:type="spellEnd"/>
      <w:r w:rsidRPr="000A70AF">
        <w:rPr>
          <w:rFonts w:ascii="Times New Roman" w:hAnsi="Times New Roman" w:cs="Times New Roman"/>
          <w:sz w:val="24"/>
          <w:szCs w:val="24"/>
        </w:rPr>
        <w:t xml:space="preserve">. 212. § (3) </w:t>
      </w:r>
      <w:proofErr w:type="spellStart"/>
      <w:r w:rsidRPr="000A70AF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Pr="000A70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0A70AF">
        <w:rPr>
          <w:rFonts w:ascii="Times New Roman" w:hAnsi="Times New Roman" w:cs="Times New Roman"/>
          <w:sz w:val="24"/>
          <w:szCs w:val="24"/>
        </w:rPr>
        <w:t xml:space="preserve"> Az országgyűlési képviselői megbízatás, az önkormányzati képviselő-testületi tagság politikai tevékenységnek tekintendő. Nem politikai tevékenység a munkavállalói - szakmai, érdekvédelmi - szervezetben való részvétel. </w:t>
      </w:r>
    </w:p>
    <w:p w:rsidR="000A70AF" w:rsidRPr="000A70AF" w:rsidRDefault="000A70AF" w:rsidP="000A7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0AF" w:rsidRPr="000A70AF" w:rsidRDefault="000A70AF" w:rsidP="000A7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0AF">
        <w:rPr>
          <w:rFonts w:ascii="Times New Roman" w:hAnsi="Times New Roman" w:cs="Times New Roman"/>
          <w:sz w:val="24"/>
          <w:szCs w:val="24"/>
        </w:rPr>
        <w:t xml:space="preserve">Az ülnököt az igazságszolgáltatásban való részvételével összefüggő cselekménye tekintetében mentelmi jog illeti meg. A mentesség terjedelmére és az ülnök mentelmi jogának felfüggesztésére vonatkozó szabályokat a </w:t>
      </w:r>
      <w:proofErr w:type="spellStart"/>
      <w:r w:rsidRPr="000A70AF">
        <w:rPr>
          <w:rFonts w:ascii="Times New Roman" w:hAnsi="Times New Roman" w:cs="Times New Roman"/>
          <w:sz w:val="24"/>
          <w:szCs w:val="24"/>
        </w:rPr>
        <w:t>Bjt</w:t>
      </w:r>
      <w:proofErr w:type="spellEnd"/>
      <w:r w:rsidRPr="000A70AF">
        <w:rPr>
          <w:rFonts w:ascii="Times New Roman" w:hAnsi="Times New Roman" w:cs="Times New Roman"/>
          <w:sz w:val="24"/>
          <w:szCs w:val="24"/>
        </w:rPr>
        <w:t xml:space="preserve">. 2. § (4) és (5) bekezdése tartalmazza. </w:t>
      </w:r>
    </w:p>
    <w:p w:rsidR="000A70AF" w:rsidRPr="000A70AF" w:rsidRDefault="000A70AF" w:rsidP="000A7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0AF" w:rsidRPr="000A70AF" w:rsidRDefault="000A70AF" w:rsidP="000A7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0AF">
        <w:rPr>
          <w:rFonts w:ascii="Times New Roman" w:hAnsi="Times New Roman" w:cs="Times New Roman"/>
          <w:sz w:val="24"/>
          <w:szCs w:val="24"/>
        </w:rPr>
        <w:t xml:space="preserve">A megválasztott ülnöknek bírói esküt kell tennie. </w:t>
      </w:r>
    </w:p>
    <w:p w:rsidR="000A70AF" w:rsidRDefault="000A70AF" w:rsidP="000A7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0AF" w:rsidRPr="000A70AF" w:rsidRDefault="000A70AF" w:rsidP="000A7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0AF">
        <w:rPr>
          <w:rFonts w:ascii="Times New Roman" w:hAnsi="Times New Roman" w:cs="Times New Roman"/>
          <w:sz w:val="24"/>
          <w:szCs w:val="24"/>
        </w:rPr>
        <w:t xml:space="preserve">Az ülnököt a bíróság elnöke hívja be és osztja be az ítélkező tanácsba. E tisztsége gyakorlásának idejére az ülnököt a </w:t>
      </w:r>
      <w:proofErr w:type="spellStart"/>
      <w:r w:rsidRPr="000A70AF">
        <w:rPr>
          <w:rFonts w:ascii="Times New Roman" w:hAnsi="Times New Roman" w:cs="Times New Roman"/>
          <w:sz w:val="24"/>
          <w:szCs w:val="24"/>
        </w:rPr>
        <w:t>Bjt</w:t>
      </w:r>
      <w:proofErr w:type="spellEnd"/>
      <w:r w:rsidRPr="000A70AF">
        <w:rPr>
          <w:rFonts w:ascii="Times New Roman" w:hAnsi="Times New Roman" w:cs="Times New Roman"/>
          <w:sz w:val="24"/>
          <w:szCs w:val="24"/>
        </w:rPr>
        <w:t xml:space="preserve">. 221. § rendelkezései szerint távolléti díj, illetőleg tiszteletdíj illeti meg, amelyet a bíróságok költségvetésükből térítenek meg. </w:t>
      </w:r>
    </w:p>
    <w:p w:rsidR="000A70AF" w:rsidRPr="000A70AF" w:rsidRDefault="000A70AF" w:rsidP="000A7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0AF" w:rsidRPr="000A70AF" w:rsidRDefault="000A70AF" w:rsidP="000A7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0A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A70AF">
        <w:rPr>
          <w:rFonts w:ascii="Times New Roman" w:hAnsi="Times New Roman" w:cs="Times New Roman"/>
          <w:sz w:val="24"/>
          <w:szCs w:val="24"/>
        </w:rPr>
        <w:t>Bjt</w:t>
      </w:r>
      <w:proofErr w:type="spellEnd"/>
      <w:r w:rsidRPr="000A70AF">
        <w:rPr>
          <w:rFonts w:ascii="Times New Roman" w:hAnsi="Times New Roman" w:cs="Times New Roman"/>
          <w:sz w:val="24"/>
          <w:szCs w:val="24"/>
        </w:rPr>
        <w:t xml:space="preserve">. 221. </w:t>
      </w:r>
      <w:proofErr w:type="gramStart"/>
      <w:r w:rsidRPr="000A70AF">
        <w:rPr>
          <w:rFonts w:ascii="Times New Roman" w:hAnsi="Times New Roman" w:cs="Times New Roman"/>
          <w:sz w:val="24"/>
          <w:szCs w:val="24"/>
        </w:rPr>
        <w:t>§ (1) bekezdésében foglaltak szerint a munkaviszonyban, kormányzati szolgálati, állami szolgálati, közszolgálati vagy közalkalmazotti jogviszonyban, rendvédelmi igazgatási szolgálati jogviszonyban, honvédelmi alkalmazotti jogviszonyban, a rendvédelmi feladatokat ellátó szervek hivatásos állományának szolgálati jogviszonyáról szóló törvény szerinti rendvédelmi feladatokat ellátó szerveknél és a Magyar Honvédségnél szolgálati viszonyban, vagy foglalkoztatásra irányuló más jogviszonyban (szövetkezetnél munkaviszony jellegű jogviszonyban stb.) álló ülnököt ülnöki működésének időtartamára a távolléti</w:t>
      </w:r>
      <w:proofErr w:type="gramEnd"/>
      <w:r w:rsidRPr="000A70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70AF">
        <w:rPr>
          <w:rFonts w:ascii="Times New Roman" w:hAnsi="Times New Roman" w:cs="Times New Roman"/>
          <w:sz w:val="24"/>
          <w:szCs w:val="24"/>
        </w:rPr>
        <w:t>díja</w:t>
      </w:r>
      <w:proofErr w:type="gramEnd"/>
      <w:r w:rsidRPr="000A70AF">
        <w:rPr>
          <w:rFonts w:ascii="Times New Roman" w:hAnsi="Times New Roman" w:cs="Times New Roman"/>
          <w:sz w:val="24"/>
          <w:szCs w:val="24"/>
        </w:rPr>
        <w:t xml:space="preserve"> illeti meg. </w:t>
      </w:r>
    </w:p>
    <w:p w:rsidR="000A70AF" w:rsidRPr="000A70AF" w:rsidRDefault="000A70AF" w:rsidP="000A7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0AF" w:rsidRPr="000A70AF" w:rsidRDefault="000A70AF" w:rsidP="000A7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0AF">
        <w:rPr>
          <w:rFonts w:ascii="Times New Roman" w:hAnsi="Times New Roman" w:cs="Times New Roman"/>
          <w:sz w:val="24"/>
          <w:szCs w:val="24"/>
        </w:rPr>
        <w:t xml:space="preserve">A (3) bekezdés alapján az (1) bekezdésben meghatározott jogviszonyokban nem álló, vagy az ülnöki működése idejére munkabérben (díjazásban) nem részesülő ülnököt tiszteletdíj illeti meg. A tiszteletdíj mértéke az ülnök működésének minden napjára a bírói illetményalap (453.330 Ft) egy munkanapra eső összegének a 25 százaléka. </w:t>
      </w:r>
    </w:p>
    <w:p w:rsidR="000A70AF" w:rsidRPr="000A70AF" w:rsidRDefault="000A70AF" w:rsidP="000A7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0AF" w:rsidRPr="000A70AF" w:rsidRDefault="000A70AF" w:rsidP="000A7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0AF">
        <w:rPr>
          <w:rFonts w:ascii="Times New Roman" w:hAnsi="Times New Roman" w:cs="Times New Roman"/>
          <w:sz w:val="24"/>
          <w:szCs w:val="24"/>
        </w:rPr>
        <w:t xml:space="preserve">Az (5) bekezdés szerint az ülnök a hivatalos kiküldetésével járó költségeket a bírákra irányadó rendelkezések megfelelő alkalmazásával számolhatja el. </w:t>
      </w:r>
    </w:p>
    <w:p w:rsidR="000A70AF" w:rsidRPr="000A70AF" w:rsidRDefault="000A70AF" w:rsidP="000A7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0AF" w:rsidRPr="000A70AF" w:rsidRDefault="000A70AF" w:rsidP="000A7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0AF">
        <w:rPr>
          <w:rFonts w:ascii="Times New Roman" w:hAnsi="Times New Roman" w:cs="Times New Roman"/>
          <w:sz w:val="24"/>
          <w:szCs w:val="24"/>
        </w:rPr>
        <w:t xml:space="preserve">Joga az ülnöknek, hogy a behívásáról legalább egy hónappal korábban értesüljön, illetve, hogy kérésére, fontos okból a bíróság elnöke elhalaszthassa a működése megkezdésének időpontját. </w:t>
      </w:r>
    </w:p>
    <w:p w:rsidR="000A70AF" w:rsidRPr="000A70AF" w:rsidRDefault="000A70AF" w:rsidP="000A7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0AF" w:rsidRPr="000A70AF" w:rsidRDefault="000A70AF" w:rsidP="000A7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0AF">
        <w:rPr>
          <w:rFonts w:ascii="Times New Roman" w:hAnsi="Times New Roman" w:cs="Times New Roman"/>
          <w:sz w:val="24"/>
          <w:szCs w:val="24"/>
        </w:rPr>
        <w:lastRenderedPageBreak/>
        <w:t xml:space="preserve">Az ítélkező tanácshoz beosztott ülnök joga, hogy a tárgyalandó ügyek tény- és joganyagát megismerhesse, arról őt az ítélkező tanács elnöke tájékoztassa. </w:t>
      </w:r>
    </w:p>
    <w:p w:rsidR="000A70AF" w:rsidRPr="000A70AF" w:rsidRDefault="000A70AF" w:rsidP="000A7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0AF" w:rsidRPr="000A70AF" w:rsidRDefault="000A70AF" w:rsidP="000A7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0AF">
        <w:rPr>
          <w:rFonts w:ascii="Times New Roman" w:hAnsi="Times New Roman" w:cs="Times New Roman"/>
          <w:sz w:val="24"/>
          <w:szCs w:val="24"/>
        </w:rPr>
        <w:t xml:space="preserve">Az ítélet meghozatalát megelőző zárt tanácskozással kapcsolatos tanácskozási titok megőrzése az ülnök számára is kötelező. Ez vonatkozik a </w:t>
      </w:r>
      <w:r>
        <w:rPr>
          <w:rFonts w:ascii="Times New Roman" w:hAnsi="Times New Roman" w:cs="Times New Roman"/>
          <w:sz w:val="24"/>
          <w:szCs w:val="24"/>
        </w:rPr>
        <w:t>minősített adatokra</w:t>
      </w:r>
      <w:r w:rsidRPr="000A70AF">
        <w:rPr>
          <w:rFonts w:ascii="Times New Roman" w:hAnsi="Times New Roman" w:cs="Times New Roman"/>
          <w:sz w:val="24"/>
          <w:szCs w:val="24"/>
        </w:rPr>
        <w:t xml:space="preserve"> is. </w:t>
      </w:r>
    </w:p>
    <w:p w:rsidR="000A70AF" w:rsidRPr="000A70AF" w:rsidRDefault="000A70AF" w:rsidP="000A7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0AF" w:rsidRPr="000A70AF" w:rsidRDefault="000A70AF" w:rsidP="000A7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ülnök megbízatása megszűnik [</w:t>
      </w:r>
      <w:proofErr w:type="spellStart"/>
      <w:r>
        <w:rPr>
          <w:rFonts w:ascii="Times New Roman" w:hAnsi="Times New Roman" w:cs="Times New Roman"/>
          <w:sz w:val="24"/>
          <w:szCs w:val="24"/>
        </w:rPr>
        <w:t>Bjt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220. §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bek</w:t>
      </w:r>
      <w:proofErr w:type="spellEnd"/>
      <w:r>
        <w:rPr>
          <w:rFonts w:ascii="Times New Roman" w:hAnsi="Times New Roman" w:cs="Times New Roman"/>
          <w:sz w:val="24"/>
          <w:szCs w:val="24"/>
        </w:rPr>
        <w:t>.]</w:t>
      </w:r>
      <w:r w:rsidRPr="000A70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0AF" w:rsidRPr="000A70AF" w:rsidRDefault="000A70AF" w:rsidP="000A7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0AF" w:rsidRPr="000A70AF" w:rsidRDefault="000A70AF" w:rsidP="000A7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70A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A70AF">
        <w:rPr>
          <w:rFonts w:ascii="Times New Roman" w:hAnsi="Times New Roman" w:cs="Times New Roman"/>
          <w:sz w:val="24"/>
          <w:szCs w:val="24"/>
        </w:rPr>
        <w:t xml:space="preserve">) az ülnök halálával, </w:t>
      </w:r>
    </w:p>
    <w:p w:rsidR="000A70AF" w:rsidRPr="000A70AF" w:rsidRDefault="000A70AF" w:rsidP="000A7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0AF" w:rsidRPr="000A70AF" w:rsidRDefault="000A70AF" w:rsidP="000A7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0AF">
        <w:rPr>
          <w:rFonts w:ascii="Times New Roman" w:hAnsi="Times New Roman" w:cs="Times New Roman"/>
          <w:sz w:val="24"/>
          <w:szCs w:val="24"/>
        </w:rPr>
        <w:t xml:space="preserve">b) a megbízatásának lejártával, </w:t>
      </w:r>
    </w:p>
    <w:p w:rsidR="000A70AF" w:rsidRPr="000A70AF" w:rsidRDefault="000A70AF" w:rsidP="000A7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0AF" w:rsidRPr="000A70AF" w:rsidRDefault="000A70AF" w:rsidP="000A7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0AF">
        <w:rPr>
          <w:rFonts w:ascii="Times New Roman" w:hAnsi="Times New Roman" w:cs="Times New Roman"/>
          <w:sz w:val="24"/>
          <w:szCs w:val="24"/>
        </w:rPr>
        <w:t xml:space="preserve">c) ha a 212. § (1) bekezdésében foglalt feltételek valamelyike már nem áll fenn, </w:t>
      </w:r>
    </w:p>
    <w:p w:rsidR="000A70AF" w:rsidRPr="000A70AF" w:rsidRDefault="000A70AF" w:rsidP="000A7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0AF" w:rsidRPr="000A70AF" w:rsidRDefault="000A70AF" w:rsidP="000A7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0AF">
        <w:rPr>
          <w:rFonts w:ascii="Times New Roman" w:hAnsi="Times New Roman" w:cs="Times New Roman"/>
          <w:sz w:val="24"/>
          <w:szCs w:val="24"/>
        </w:rPr>
        <w:t xml:space="preserve">d) a 70. év betöltésével, </w:t>
      </w:r>
    </w:p>
    <w:p w:rsidR="000A70AF" w:rsidRPr="000A70AF" w:rsidRDefault="000A70AF" w:rsidP="000A7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0AF" w:rsidRPr="000A70AF" w:rsidRDefault="000A70AF" w:rsidP="000A7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70AF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0A70AF">
        <w:rPr>
          <w:rFonts w:ascii="Times New Roman" w:hAnsi="Times New Roman" w:cs="Times New Roman"/>
          <w:sz w:val="24"/>
          <w:szCs w:val="24"/>
        </w:rPr>
        <w:t xml:space="preserve">) lemondással (képviselő-testülethez intézett írásbeli nyilatkozatával), </w:t>
      </w:r>
    </w:p>
    <w:p w:rsidR="000A70AF" w:rsidRPr="000A70AF" w:rsidRDefault="000A70AF" w:rsidP="000A7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0AF" w:rsidRPr="000A70AF" w:rsidRDefault="000A70AF" w:rsidP="000A7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70AF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0A70AF">
        <w:rPr>
          <w:rFonts w:ascii="Times New Roman" w:hAnsi="Times New Roman" w:cs="Times New Roman"/>
          <w:sz w:val="24"/>
          <w:szCs w:val="24"/>
        </w:rPr>
        <w:t xml:space="preserve">) ha a 219. § (4) bekezdésében meghatározott esetben az ülnököt megválasztó képviselő-testület az ülnököt visszahívja. </w:t>
      </w:r>
    </w:p>
    <w:p w:rsidR="000A70AF" w:rsidRPr="000A70AF" w:rsidRDefault="000A70AF" w:rsidP="000A7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0AF" w:rsidRPr="000A70AF" w:rsidRDefault="000A70AF" w:rsidP="000A7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0AF">
        <w:rPr>
          <w:rFonts w:ascii="Times New Roman" w:hAnsi="Times New Roman" w:cs="Times New Roman"/>
          <w:sz w:val="24"/>
          <w:szCs w:val="24"/>
        </w:rPr>
        <w:t xml:space="preserve">A katonai ülnök megbízatása - a nyugállományba helyezést kivéve - akkor is megszűnik, ha a szolgálati viszonya megszűnt. </w:t>
      </w:r>
    </w:p>
    <w:p w:rsidR="000A70AF" w:rsidRPr="000A70AF" w:rsidRDefault="000A70AF" w:rsidP="000A7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0AF" w:rsidRPr="000A70AF" w:rsidRDefault="000A70AF" w:rsidP="000A7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0A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A70AF" w:rsidRPr="000A7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50E6F"/>
    <w:multiLevelType w:val="hybridMultilevel"/>
    <w:tmpl w:val="6150A3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AF"/>
    <w:rsid w:val="000A70AF"/>
    <w:rsid w:val="00A474CD"/>
    <w:rsid w:val="00AA3512"/>
    <w:rsid w:val="00DE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4B42B-CC84-483E-93C4-DFD6DC1D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A7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479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Vattamány Gyula dr.</dc:creator>
  <cp:keywords/>
  <dc:description/>
  <cp:lastModifiedBy>Vattamány Gyula dr.</cp:lastModifiedBy>
  <cp:revision>3</cp:revision>
  <dcterms:created xsi:type="dcterms:W3CDTF">2019-03-21T08:22:00Z</dcterms:created>
  <dcterms:modified xsi:type="dcterms:W3CDTF">2019-03-22T09:18:00Z</dcterms:modified>
</cp:coreProperties>
</file>